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6A18F1" w:rsidTr="00FB7487">
        <w:tc>
          <w:tcPr>
            <w:tcW w:w="743" w:type="dxa"/>
          </w:tcPr>
          <w:p w:rsidR="006A18F1" w:rsidRDefault="006A18F1" w:rsidP="00FB7487">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A18F1" w:rsidRDefault="006A18F1" w:rsidP="00FB7487">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6A18F1" w:rsidRDefault="006A18F1" w:rsidP="00FB7487">
            <w:pPr>
              <w:rPr>
                <w:rFonts w:ascii="Arial" w:hAnsi="Arial" w:cs="FrankRuehl"/>
                <w:sz w:val="28"/>
                <w:szCs w:val="28"/>
                <w:highlight w:val="yellow"/>
              </w:rPr>
            </w:pPr>
          </w:p>
        </w:tc>
      </w:tr>
      <w:tr w:rsidR="006A18F1" w:rsidTr="00FB7487">
        <w:tc>
          <w:tcPr>
            <w:tcW w:w="3249" w:type="dxa"/>
            <w:gridSpan w:val="2"/>
          </w:tcPr>
          <w:sdt>
            <w:sdtPr>
              <w:alias w:val="1180"/>
              <w:tag w:val="1180"/>
              <w:id w:val="2064520869"/>
              <w:text w:multiLine="1"/>
            </w:sdtPr>
            <w:sdtEndPr/>
            <w:sdtContent>
              <w:p w:rsidR="006A18F1" w:rsidRDefault="006A18F1" w:rsidP="00FB7487">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A18F1" w:rsidRDefault="009515F7" w:rsidP="00C660C5">
            <w:pPr>
              <w:rPr>
                <w:b/>
                <w:bCs/>
                <w:noProof w:val="0"/>
                <w:sz w:val="26"/>
                <w:szCs w:val="26"/>
              </w:rPr>
            </w:pPr>
            <w:sdt>
              <w:sdtPr>
                <w:rPr>
                  <w:rtl/>
                </w:rPr>
                <w:alias w:val="1462"/>
                <w:tag w:val="1462"/>
                <w:id w:val="-236406021"/>
                <w:text w:multiLine="1"/>
              </w:sdtPr>
              <w:sdtEndPr/>
              <w:sdtContent>
                <w:r w:rsidR="006A18F1">
                  <w:rPr>
                    <w:rFonts w:ascii="Arial" w:hAnsi="Arial"/>
                    <w:b/>
                    <w:bCs/>
                    <w:noProof w:val="0"/>
                    <w:sz w:val="26"/>
                    <w:szCs w:val="26"/>
                    <w:rtl/>
                  </w:rPr>
                  <w:t>1</w:t>
                </w:r>
              </w:sdtContent>
            </w:sdt>
            <w:r w:rsidR="006A18F1">
              <w:rPr>
                <w:b/>
                <w:bCs/>
                <w:noProof w:val="0"/>
                <w:sz w:val="26"/>
                <w:szCs w:val="26"/>
                <w:rtl/>
              </w:rPr>
              <w:t xml:space="preserve">. </w:t>
            </w:r>
            <w:sdt>
              <w:sdtPr>
                <w:rPr>
                  <w:rtl/>
                </w:rPr>
                <w:alias w:val="1478"/>
                <w:tag w:val="1478"/>
                <w:id w:val="-2019765730"/>
                <w:text w:multiLine="1"/>
              </w:sdtPr>
              <w:sdtEndPr/>
              <w:sdtContent>
                <w:r w:rsidR="00C660C5">
                  <w:rPr>
                    <w:rFonts w:ascii="Arial" w:hAnsi="Arial" w:hint="cs"/>
                    <w:b/>
                    <w:bCs/>
                    <w:noProof w:val="0"/>
                    <w:sz w:val="26"/>
                    <w:szCs w:val="26"/>
                    <w:rtl/>
                  </w:rPr>
                  <w:t>ש.</w:t>
                </w:r>
              </w:sdtContent>
            </w:sdt>
          </w:p>
          <w:p w:rsidR="006A18F1" w:rsidRDefault="009515F7" w:rsidP="00C660C5">
            <w:pPr>
              <w:rPr>
                <w:b/>
                <w:bCs/>
                <w:noProof w:val="0"/>
                <w:sz w:val="26"/>
                <w:szCs w:val="26"/>
              </w:rPr>
            </w:pPr>
            <w:sdt>
              <w:sdtPr>
                <w:rPr>
                  <w:rtl/>
                </w:rPr>
                <w:alias w:val="1462"/>
                <w:tag w:val="1462"/>
                <w:id w:val="1592432588"/>
                <w:text w:multiLine="1"/>
              </w:sdtPr>
              <w:sdtEndPr/>
              <w:sdtContent>
                <w:r w:rsidR="006A18F1">
                  <w:rPr>
                    <w:rFonts w:ascii="Arial" w:hAnsi="Arial"/>
                    <w:b/>
                    <w:bCs/>
                    <w:noProof w:val="0"/>
                    <w:sz w:val="26"/>
                    <w:szCs w:val="26"/>
                    <w:rtl/>
                  </w:rPr>
                  <w:t>2</w:t>
                </w:r>
              </w:sdtContent>
            </w:sdt>
            <w:r w:rsidR="006A18F1">
              <w:rPr>
                <w:b/>
                <w:bCs/>
                <w:noProof w:val="0"/>
                <w:sz w:val="26"/>
                <w:szCs w:val="26"/>
                <w:rtl/>
              </w:rPr>
              <w:t xml:space="preserve">. </w:t>
            </w:r>
            <w:r w:rsidR="00C660C5">
              <w:rPr>
                <w:rFonts w:ascii="Arial" w:hAnsi="Arial" w:hint="cs"/>
                <w:b/>
                <w:bCs/>
                <w:noProof w:val="0"/>
                <w:sz w:val="26"/>
                <w:szCs w:val="26"/>
                <w:rtl/>
              </w:rPr>
              <w:t>א.</w:t>
            </w:r>
          </w:p>
          <w:p w:rsidR="006A18F1" w:rsidRDefault="009515F7" w:rsidP="00C660C5">
            <w:pPr>
              <w:rPr>
                <w:b/>
                <w:bCs/>
                <w:noProof w:val="0"/>
                <w:sz w:val="26"/>
                <w:szCs w:val="26"/>
              </w:rPr>
            </w:pPr>
            <w:sdt>
              <w:sdtPr>
                <w:rPr>
                  <w:rtl/>
                </w:rPr>
                <w:alias w:val="1462"/>
                <w:tag w:val="1462"/>
                <w:id w:val="-2054066739"/>
                <w:text w:multiLine="1"/>
              </w:sdtPr>
              <w:sdtEndPr/>
              <w:sdtContent>
                <w:r w:rsidR="006A18F1">
                  <w:rPr>
                    <w:rFonts w:ascii="Arial" w:hAnsi="Arial"/>
                    <w:b/>
                    <w:bCs/>
                    <w:noProof w:val="0"/>
                    <w:sz w:val="26"/>
                    <w:szCs w:val="26"/>
                    <w:rtl/>
                  </w:rPr>
                  <w:t>3</w:t>
                </w:r>
              </w:sdtContent>
            </w:sdt>
            <w:r w:rsidR="006A18F1">
              <w:rPr>
                <w:b/>
                <w:bCs/>
                <w:noProof w:val="0"/>
                <w:sz w:val="26"/>
                <w:szCs w:val="26"/>
                <w:rtl/>
              </w:rPr>
              <w:t xml:space="preserve">. </w:t>
            </w:r>
            <w:r w:rsidR="00C660C5">
              <w:rPr>
                <w:rFonts w:ascii="Arial" w:hAnsi="Arial" w:hint="cs"/>
                <w:b/>
                <w:bCs/>
                <w:noProof w:val="0"/>
                <w:sz w:val="26"/>
                <w:szCs w:val="26"/>
                <w:rtl/>
              </w:rPr>
              <w:t>נ.</w:t>
            </w:r>
          </w:p>
          <w:p w:rsidR="006A18F1" w:rsidRDefault="009515F7" w:rsidP="00C660C5">
            <w:pPr>
              <w:rPr>
                <w:b/>
                <w:bCs/>
                <w:noProof w:val="0"/>
                <w:sz w:val="26"/>
                <w:szCs w:val="26"/>
              </w:rPr>
            </w:pPr>
            <w:sdt>
              <w:sdtPr>
                <w:rPr>
                  <w:rtl/>
                </w:rPr>
                <w:alias w:val="1462"/>
                <w:tag w:val="1462"/>
                <w:id w:val="-1257900070"/>
                <w:text w:multiLine="1"/>
              </w:sdtPr>
              <w:sdtEndPr/>
              <w:sdtContent>
                <w:r w:rsidR="006A18F1">
                  <w:rPr>
                    <w:rFonts w:ascii="Arial" w:hAnsi="Arial"/>
                    <w:b/>
                    <w:bCs/>
                    <w:noProof w:val="0"/>
                    <w:sz w:val="26"/>
                    <w:szCs w:val="26"/>
                    <w:rtl/>
                  </w:rPr>
                  <w:t>4</w:t>
                </w:r>
              </w:sdtContent>
            </w:sdt>
            <w:r w:rsidR="006A18F1">
              <w:rPr>
                <w:b/>
                <w:bCs/>
                <w:noProof w:val="0"/>
                <w:sz w:val="26"/>
                <w:szCs w:val="26"/>
                <w:rtl/>
              </w:rPr>
              <w:t xml:space="preserve">. </w:t>
            </w:r>
            <w:r w:rsidR="00C660C5">
              <w:rPr>
                <w:rFonts w:ascii="Arial" w:hAnsi="Arial" w:hint="cs"/>
                <w:b/>
                <w:bCs/>
                <w:noProof w:val="0"/>
                <w:sz w:val="26"/>
                <w:szCs w:val="26"/>
                <w:rtl/>
              </w:rPr>
              <w:t>ג.</w:t>
            </w:r>
            <w:sdt>
              <w:sdtPr>
                <w:rPr>
                  <w:rtl/>
                </w:rPr>
                <w:alias w:val="2316"/>
                <w:tag w:val="2316"/>
                <w:id w:val="1399095598"/>
                <w:showingPlcHdr/>
                <w:text w:multiLine="1"/>
              </w:sdtPr>
              <w:sdtEndPr/>
              <w:sdtContent>
                <w:r w:rsidR="00C660C5">
                  <w:rPr>
                    <w:rtl/>
                  </w:rPr>
                  <w:t xml:space="preserve">     </w:t>
                </w:r>
              </w:sdtContent>
            </w:sdt>
          </w:p>
          <w:p w:rsidR="006A18F1" w:rsidRDefault="009515F7" w:rsidP="00C660C5">
            <w:pPr>
              <w:rPr>
                <w:b/>
                <w:bCs/>
                <w:noProof w:val="0"/>
                <w:sz w:val="26"/>
                <w:szCs w:val="26"/>
              </w:rPr>
            </w:pPr>
            <w:sdt>
              <w:sdtPr>
                <w:rPr>
                  <w:rtl/>
                </w:rPr>
                <w:alias w:val="1462"/>
                <w:tag w:val="1462"/>
                <w:id w:val="-602112345"/>
                <w:text w:multiLine="1"/>
              </w:sdtPr>
              <w:sdtEndPr/>
              <w:sdtContent>
                <w:r w:rsidR="006A18F1">
                  <w:rPr>
                    <w:rFonts w:ascii="Arial" w:hAnsi="Arial"/>
                    <w:b/>
                    <w:bCs/>
                    <w:noProof w:val="0"/>
                    <w:sz w:val="26"/>
                    <w:szCs w:val="26"/>
                    <w:rtl/>
                  </w:rPr>
                  <w:t>5</w:t>
                </w:r>
              </w:sdtContent>
            </w:sdt>
            <w:r w:rsidR="006A18F1">
              <w:rPr>
                <w:b/>
                <w:bCs/>
                <w:noProof w:val="0"/>
                <w:sz w:val="26"/>
                <w:szCs w:val="26"/>
                <w:rtl/>
              </w:rPr>
              <w:t xml:space="preserve">. </w:t>
            </w:r>
            <w:sdt>
              <w:sdtPr>
                <w:rPr>
                  <w:rtl/>
                </w:rPr>
                <w:alias w:val="1478"/>
                <w:tag w:val="1478"/>
                <w:id w:val="864028381"/>
                <w:text w:multiLine="1"/>
              </w:sdtPr>
              <w:sdtEndPr/>
              <w:sdtContent>
                <w:r w:rsidR="006A18F1">
                  <w:rPr>
                    <w:rFonts w:ascii="Arial" w:hAnsi="Arial"/>
                    <w:b/>
                    <w:bCs/>
                    <w:noProof w:val="0"/>
                    <w:sz w:val="26"/>
                    <w:szCs w:val="26"/>
                    <w:rtl/>
                  </w:rPr>
                  <w:t>ס</w:t>
                </w:r>
                <w:r w:rsidR="00C660C5">
                  <w:rPr>
                    <w:rFonts w:ascii="Arial" w:hAnsi="Arial" w:hint="cs"/>
                    <w:b/>
                    <w:bCs/>
                    <w:noProof w:val="0"/>
                    <w:sz w:val="26"/>
                    <w:szCs w:val="26"/>
                    <w:rtl/>
                  </w:rPr>
                  <w:t>.</w:t>
                </w:r>
              </w:sdtContent>
            </w:sdt>
          </w:p>
        </w:tc>
      </w:tr>
      <w:tr w:rsidR="006A18F1" w:rsidTr="00FB7487">
        <w:tc>
          <w:tcPr>
            <w:tcW w:w="8820" w:type="dxa"/>
            <w:gridSpan w:val="3"/>
          </w:tcPr>
          <w:p w:rsidR="006A18F1" w:rsidRDefault="006A18F1" w:rsidP="00FB7487">
            <w:pPr>
              <w:rPr>
                <w:rFonts w:ascii="Arial" w:hAnsi="Arial"/>
                <w:b/>
                <w:bCs/>
                <w:noProof w:val="0"/>
                <w:sz w:val="26"/>
                <w:szCs w:val="26"/>
                <w:rtl/>
              </w:rPr>
            </w:pPr>
          </w:p>
          <w:p w:rsidR="006A18F1" w:rsidRDefault="006A18F1" w:rsidP="00FB7487">
            <w:pPr>
              <w:jc w:val="center"/>
              <w:rPr>
                <w:rFonts w:ascii="Arial" w:hAnsi="Arial"/>
                <w:b/>
                <w:bCs/>
                <w:noProof w:val="0"/>
                <w:sz w:val="26"/>
                <w:szCs w:val="26"/>
                <w:rtl/>
              </w:rPr>
            </w:pPr>
            <w:r>
              <w:rPr>
                <w:rFonts w:ascii="Arial" w:hAnsi="Arial"/>
                <w:b/>
                <w:bCs/>
                <w:noProof w:val="0"/>
                <w:sz w:val="26"/>
                <w:szCs w:val="26"/>
                <w:rtl/>
              </w:rPr>
              <w:t>נגד</w:t>
            </w:r>
          </w:p>
          <w:p w:rsidR="006A18F1" w:rsidRDefault="006A18F1" w:rsidP="00FB7487">
            <w:pPr>
              <w:rPr>
                <w:rFonts w:ascii="Arial" w:hAnsi="Arial"/>
                <w:b/>
                <w:bCs/>
                <w:noProof w:val="0"/>
                <w:sz w:val="26"/>
                <w:szCs w:val="26"/>
              </w:rPr>
            </w:pPr>
          </w:p>
        </w:tc>
      </w:tr>
      <w:tr w:rsidR="006A18F1" w:rsidTr="00FB7487">
        <w:tc>
          <w:tcPr>
            <w:tcW w:w="3249" w:type="dxa"/>
            <w:gridSpan w:val="2"/>
          </w:tcPr>
          <w:p w:rsidR="006A18F1" w:rsidRDefault="006A18F1" w:rsidP="00FB7487">
            <w:pPr>
              <w:rPr>
                <w:rFonts w:ascii="Arial" w:hAnsi="Arial"/>
                <w:b/>
                <w:bCs/>
                <w:noProof w:val="0"/>
                <w:sz w:val="26"/>
                <w:szCs w:val="26"/>
                <w:rtl/>
              </w:rPr>
            </w:pPr>
          </w:p>
          <w:p w:rsidR="006A18F1" w:rsidRDefault="009515F7" w:rsidP="00FB7487">
            <w:pPr>
              <w:rPr>
                <w:rFonts w:ascii="Arial" w:hAnsi="Arial"/>
                <w:b/>
                <w:bCs/>
                <w:noProof w:val="0"/>
                <w:sz w:val="26"/>
                <w:szCs w:val="26"/>
              </w:rPr>
            </w:pPr>
            <w:sdt>
              <w:sdtPr>
                <w:rPr>
                  <w:rtl/>
                </w:rPr>
                <w:alias w:val="1184"/>
                <w:tag w:val="1184"/>
                <w:id w:val="385841288"/>
                <w:text w:multiLine="1"/>
              </w:sdtPr>
              <w:sdtEndPr/>
              <w:sdtContent>
                <w:r w:rsidR="006A18F1">
                  <w:rPr>
                    <w:rFonts w:ascii="Arial" w:hAnsi="Arial"/>
                    <w:b/>
                    <w:bCs/>
                    <w:noProof w:val="0"/>
                    <w:sz w:val="26"/>
                    <w:szCs w:val="26"/>
                    <w:rtl/>
                  </w:rPr>
                  <w:t>משיבים</w:t>
                </w:r>
              </w:sdtContent>
            </w:sdt>
          </w:p>
        </w:tc>
        <w:tc>
          <w:tcPr>
            <w:tcW w:w="5571" w:type="dxa"/>
          </w:tcPr>
          <w:p w:rsidR="006A18F1" w:rsidRDefault="006A18F1" w:rsidP="00FB7487">
            <w:pPr>
              <w:rPr>
                <w:rFonts w:ascii="Arial" w:hAnsi="Arial"/>
                <w:b/>
                <w:bCs/>
                <w:noProof w:val="0"/>
                <w:sz w:val="26"/>
                <w:szCs w:val="26"/>
                <w:rtl/>
              </w:rPr>
            </w:pPr>
          </w:p>
          <w:p w:rsidR="006A18F1" w:rsidRDefault="009515F7" w:rsidP="001A3FA3">
            <w:pPr>
              <w:rPr>
                <w:b/>
                <w:bCs/>
                <w:noProof w:val="0"/>
                <w:sz w:val="26"/>
                <w:szCs w:val="26"/>
                <w:rtl/>
              </w:rPr>
            </w:pPr>
            <w:sdt>
              <w:sdtPr>
                <w:rPr>
                  <w:rtl/>
                </w:rPr>
                <w:alias w:val="1571"/>
                <w:tag w:val="1571"/>
                <w:id w:val="1119420712"/>
                <w:text w:multiLine="1"/>
              </w:sdtPr>
              <w:sdtEndPr/>
              <w:sdtContent>
                <w:r w:rsidR="006A18F1">
                  <w:rPr>
                    <w:rFonts w:ascii="Arial" w:hAnsi="Arial"/>
                    <w:b/>
                    <w:bCs/>
                    <w:noProof w:val="0"/>
                    <w:sz w:val="26"/>
                    <w:szCs w:val="26"/>
                    <w:rtl/>
                  </w:rPr>
                  <w:t>1</w:t>
                </w:r>
              </w:sdtContent>
            </w:sdt>
            <w:r w:rsidR="006A18F1">
              <w:rPr>
                <w:rFonts w:ascii="Arial" w:hAnsi="Arial"/>
                <w:b/>
                <w:bCs/>
                <w:noProof w:val="0"/>
                <w:sz w:val="26"/>
                <w:szCs w:val="26"/>
                <w:rtl/>
              </w:rPr>
              <w:t xml:space="preserve">. </w:t>
            </w:r>
            <w:r w:rsidR="001A3FA3">
              <w:rPr>
                <w:rFonts w:ascii="Arial" w:hAnsi="Arial" w:hint="cs"/>
                <w:b/>
                <w:bCs/>
                <w:noProof w:val="0"/>
                <w:sz w:val="26"/>
                <w:szCs w:val="26"/>
                <w:rtl/>
              </w:rPr>
              <w:t>ח.</w:t>
            </w:r>
          </w:p>
          <w:p w:rsidR="006A18F1" w:rsidRDefault="009515F7" w:rsidP="001A3FA3">
            <w:pPr>
              <w:rPr>
                <w:b/>
                <w:bCs/>
                <w:noProof w:val="0"/>
                <w:sz w:val="26"/>
                <w:szCs w:val="26"/>
                <w:rtl/>
              </w:rPr>
            </w:pPr>
            <w:sdt>
              <w:sdtPr>
                <w:rPr>
                  <w:rtl/>
                </w:rPr>
                <w:alias w:val="1571"/>
                <w:tag w:val="1571"/>
                <w:id w:val="289011430"/>
                <w:text w:multiLine="1"/>
              </w:sdtPr>
              <w:sdtEndPr/>
              <w:sdtContent>
                <w:r w:rsidR="006A18F1">
                  <w:rPr>
                    <w:rFonts w:ascii="Arial" w:hAnsi="Arial"/>
                    <w:b/>
                    <w:bCs/>
                    <w:noProof w:val="0"/>
                    <w:sz w:val="26"/>
                    <w:szCs w:val="26"/>
                    <w:rtl/>
                  </w:rPr>
                  <w:t>2</w:t>
                </w:r>
              </w:sdtContent>
            </w:sdt>
            <w:r w:rsidR="006A18F1">
              <w:rPr>
                <w:rFonts w:ascii="Arial" w:hAnsi="Arial"/>
                <w:b/>
                <w:bCs/>
                <w:noProof w:val="0"/>
                <w:sz w:val="26"/>
                <w:szCs w:val="26"/>
                <w:rtl/>
              </w:rPr>
              <w:t xml:space="preserve">. </w:t>
            </w:r>
            <w:sdt>
              <w:sdtPr>
                <w:rPr>
                  <w:rtl/>
                </w:rPr>
                <w:alias w:val="1486"/>
                <w:tag w:val="1486"/>
                <w:id w:val="1376037281"/>
                <w:text w:multiLine="1"/>
              </w:sdtPr>
              <w:sdtEndPr/>
              <w:sdtContent>
                <w:r w:rsidR="006A18F1">
                  <w:rPr>
                    <w:rFonts w:ascii="Arial" w:hAnsi="Arial"/>
                    <w:b/>
                    <w:bCs/>
                    <w:noProof w:val="0"/>
                    <w:sz w:val="26"/>
                    <w:szCs w:val="26"/>
                    <w:rtl/>
                  </w:rPr>
                  <w:t>ר</w:t>
                </w:r>
                <w:r w:rsidR="001A3FA3">
                  <w:rPr>
                    <w:rFonts w:ascii="Arial" w:hAnsi="Arial" w:hint="cs"/>
                    <w:b/>
                    <w:bCs/>
                    <w:noProof w:val="0"/>
                    <w:sz w:val="26"/>
                    <w:szCs w:val="26"/>
                    <w:rtl/>
                  </w:rPr>
                  <w:t>.</w:t>
                </w:r>
              </w:sdtContent>
            </w:sdt>
          </w:p>
          <w:p w:rsidR="006A18F1" w:rsidRDefault="009515F7" w:rsidP="001A3FA3">
            <w:pPr>
              <w:rPr>
                <w:b/>
                <w:bCs/>
                <w:noProof w:val="0"/>
                <w:sz w:val="26"/>
                <w:szCs w:val="26"/>
                <w:rtl/>
              </w:rPr>
            </w:pPr>
            <w:sdt>
              <w:sdtPr>
                <w:rPr>
                  <w:rtl/>
                </w:rPr>
                <w:alias w:val="1571"/>
                <w:tag w:val="1571"/>
                <w:id w:val="-615830052"/>
                <w:text w:multiLine="1"/>
              </w:sdtPr>
              <w:sdtEndPr/>
              <w:sdtContent>
                <w:r w:rsidR="006A18F1">
                  <w:rPr>
                    <w:rFonts w:ascii="Arial" w:hAnsi="Arial"/>
                    <w:b/>
                    <w:bCs/>
                    <w:noProof w:val="0"/>
                    <w:sz w:val="26"/>
                    <w:szCs w:val="26"/>
                    <w:rtl/>
                  </w:rPr>
                  <w:t>3</w:t>
                </w:r>
              </w:sdtContent>
            </w:sdt>
            <w:r w:rsidR="006A18F1">
              <w:rPr>
                <w:rFonts w:ascii="Arial" w:hAnsi="Arial"/>
                <w:b/>
                <w:bCs/>
                <w:noProof w:val="0"/>
                <w:sz w:val="26"/>
                <w:szCs w:val="26"/>
                <w:rtl/>
              </w:rPr>
              <w:t xml:space="preserve">. </w:t>
            </w:r>
            <w:sdt>
              <w:sdtPr>
                <w:rPr>
                  <w:rtl/>
                </w:rPr>
                <w:alias w:val="1486"/>
                <w:tag w:val="1486"/>
                <w:id w:val="-1589613012"/>
                <w:text w:multiLine="1"/>
              </w:sdtPr>
              <w:sdtEndPr/>
              <w:sdtContent>
                <w:r w:rsidR="006A18F1">
                  <w:rPr>
                    <w:rFonts w:ascii="Arial" w:hAnsi="Arial"/>
                    <w:b/>
                    <w:bCs/>
                    <w:noProof w:val="0"/>
                    <w:sz w:val="26"/>
                    <w:szCs w:val="26"/>
                    <w:rtl/>
                  </w:rPr>
                  <w:t>י</w:t>
                </w:r>
                <w:r w:rsidR="001A3FA3">
                  <w:rPr>
                    <w:rFonts w:ascii="Arial" w:hAnsi="Arial" w:hint="cs"/>
                    <w:b/>
                    <w:bCs/>
                    <w:noProof w:val="0"/>
                    <w:sz w:val="26"/>
                    <w:szCs w:val="26"/>
                    <w:rtl/>
                  </w:rPr>
                  <w:t>.</w:t>
                </w:r>
              </w:sdtContent>
            </w:sdt>
          </w:p>
          <w:p w:rsidR="006A18F1" w:rsidRDefault="009515F7" w:rsidP="001A3FA3">
            <w:pPr>
              <w:rPr>
                <w:b/>
                <w:bCs/>
                <w:noProof w:val="0"/>
                <w:sz w:val="26"/>
                <w:szCs w:val="26"/>
                <w:rtl/>
              </w:rPr>
            </w:pPr>
            <w:sdt>
              <w:sdtPr>
                <w:rPr>
                  <w:rtl/>
                </w:rPr>
                <w:alias w:val="1571"/>
                <w:tag w:val="1571"/>
                <w:id w:val="1415435038"/>
                <w:text w:multiLine="1"/>
              </w:sdtPr>
              <w:sdtEndPr/>
              <w:sdtContent>
                <w:r w:rsidR="006A18F1">
                  <w:rPr>
                    <w:rFonts w:ascii="Arial" w:hAnsi="Arial"/>
                    <w:b/>
                    <w:bCs/>
                    <w:noProof w:val="0"/>
                    <w:sz w:val="26"/>
                    <w:szCs w:val="26"/>
                    <w:rtl/>
                  </w:rPr>
                  <w:t>4</w:t>
                </w:r>
              </w:sdtContent>
            </w:sdt>
            <w:r w:rsidR="006A18F1">
              <w:rPr>
                <w:rFonts w:ascii="Arial" w:hAnsi="Arial"/>
                <w:b/>
                <w:bCs/>
                <w:noProof w:val="0"/>
                <w:sz w:val="26"/>
                <w:szCs w:val="26"/>
                <w:rtl/>
              </w:rPr>
              <w:t xml:space="preserve">. </w:t>
            </w:r>
            <w:sdt>
              <w:sdtPr>
                <w:rPr>
                  <w:rtl/>
                </w:rPr>
                <w:alias w:val="1486"/>
                <w:tag w:val="1486"/>
                <w:id w:val="-1783485927"/>
                <w:text w:multiLine="1"/>
              </w:sdtPr>
              <w:sdtEndPr/>
              <w:sdtContent>
                <w:r w:rsidR="006A18F1">
                  <w:rPr>
                    <w:rFonts w:ascii="Arial" w:hAnsi="Arial"/>
                    <w:b/>
                    <w:bCs/>
                    <w:noProof w:val="0"/>
                    <w:sz w:val="26"/>
                    <w:szCs w:val="26"/>
                    <w:rtl/>
                  </w:rPr>
                  <w:t>א</w:t>
                </w:r>
                <w:r w:rsidR="001A3FA3">
                  <w:rPr>
                    <w:rFonts w:ascii="Arial" w:hAnsi="Arial" w:hint="cs"/>
                    <w:b/>
                    <w:bCs/>
                    <w:noProof w:val="0"/>
                    <w:sz w:val="26"/>
                    <w:szCs w:val="26"/>
                    <w:rtl/>
                  </w:rPr>
                  <w:t>.ש.</w:t>
                </w:r>
              </w:sdtContent>
            </w:sdt>
          </w:p>
          <w:p w:rsidR="006A18F1" w:rsidRDefault="009515F7" w:rsidP="00FB7487">
            <w:pPr>
              <w:rPr>
                <w:rtl/>
              </w:rPr>
            </w:pPr>
            <w:sdt>
              <w:sdtPr>
                <w:rPr>
                  <w:rtl/>
                </w:rPr>
                <w:alias w:val="1571"/>
                <w:tag w:val="1571"/>
                <w:id w:val="-1979137490"/>
                <w:text w:multiLine="1"/>
              </w:sdtPr>
              <w:sdtEndPr/>
              <w:sdtContent>
                <w:r w:rsidR="006A18F1">
                  <w:rPr>
                    <w:rFonts w:ascii="Arial" w:hAnsi="Arial"/>
                    <w:b/>
                    <w:bCs/>
                    <w:noProof w:val="0"/>
                    <w:sz w:val="26"/>
                    <w:szCs w:val="26"/>
                    <w:rtl/>
                  </w:rPr>
                  <w:t>5</w:t>
                </w:r>
              </w:sdtContent>
            </w:sdt>
            <w:r w:rsidR="006A18F1">
              <w:rPr>
                <w:rFonts w:ascii="Arial" w:hAnsi="Arial"/>
                <w:b/>
                <w:bCs/>
                <w:noProof w:val="0"/>
                <w:sz w:val="26"/>
                <w:szCs w:val="26"/>
                <w:rtl/>
              </w:rPr>
              <w:t xml:space="preserve">. </w:t>
            </w:r>
            <w:sdt>
              <w:sdtPr>
                <w:rPr>
                  <w:rtl/>
                </w:rPr>
                <w:alias w:val="1486"/>
                <w:tag w:val="1486"/>
                <w:id w:val="-1259593471"/>
                <w:text w:multiLine="1"/>
              </w:sdtPr>
              <w:sdtEndPr/>
              <w:sdtContent>
                <w:r w:rsidR="006A18F1">
                  <w:rPr>
                    <w:rFonts w:ascii="Arial" w:hAnsi="Arial"/>
                    <w:b/>
                    <w:bCs/>
                    <w:noProof w:val="0"/>
                    <w:sz w:val="26"/>
                    <w:szCs w:val="26"/>
                    <w:rtl/>
                  </w:rPr>
                  <w:t>האפוטרופוס הכללי במחוז ירושלים</w:t>
                </w:r>
              </w:sdtContent>
            </w:sdt>
            <w:r w:rsidR="006A18F1">
              <w:rPr>
                <w:rFonts w:ascii="Arial" w:hAnsi="Arial" w:hint="cs"/>
                <w:b/>
                <w:bCs/>
                <w:noProof w:val="0"/>
                <w:sz w:val="26"/>
                <w:szCs w:val="26"/>
                <w:rtl/>
              </w:rPr>
              <w:t xml:space="preserve"> </w:t>
            </w:r>
          </w:p>
          <w:p w:rsidR="006A18F1" w:rsidRDefault="009515F7" w:rsidP="001A3FA3">
            <w:pPr>
              <w:rPr>
                <w:b/>
                <w:bCs/>
                <w:noProof w:val="0"/>
                <w:sz w:val="26"/>
                <w:szCs w:val="26"/>
                <w:rtl/>
              </w:rPr>
            </w:pPr>
            <w:sdt>
              <w:sdtPr>
                <w:rPr>
                  <w:rtl/>
                </w:rPr>
                <w:alias w:val="1571"/>
                <w:tag w:val="1571"/>
                <w:id w:val="-1622685124"/>
                <w:text w:multiLine="1"/>
              </w:sdtPr>
              <w:sdtEndPr/>
              <w:sdtContent>
                <w:r w:rsidR="006A18F1">
                  <w:rPr>
                    <w:rFonts w:ascii="Arial" w:hAnsi="Arial"/>
                    <w:b/>
                    <w:bCs/>
                    <w:noProof w:val="0"/>
                    <w:sz w:val="26"/>
                    <w:szCs w:val="26"/>
                    <w:rtl/>
                  </w:rPr>
                  <w:t>6</w:t>
                </w:r>
              </w:sdtContent>
            </w:sdt>
            <w:r w:rsidR="006A18F1">
              <w:rPr>
                <w:rFonts w:ascii="Arial" w:hAnsi="Arial"/>
                <w:b/>
                <w:bCs/>
                <w:noProof w:val="0"/>
                <w:sz w:val="26"/>
                <w:szCs w:val="26"/>
                <w:rtl/>
              </w:rPr>
              <w:t xml:space="preserve">. </w:t>
            </w:r>
            <w:sdt>
              <w:sdtPr>
                <w:rPr>
                  <w:rtl/>
                </w:rPr>
                <w:alias w:val="1486"/>
                <w:tag w:val="1486"/>
                <w:id w:val="-683201831"/>
                <w:text w:multiLine="1"/>
              </w:sdtPr>
              <w:sdtEndPr/>
              <w:sdtContent>
                <w:r w:rsidR="001A3FA3">
                  <w:rPr>
                    <w:rFonts w:ascii="Arial" w:hAnsi="Arial" w:hint="cs"/>
                    <w:b/>
                    <w:bCs/>
                    <w:noProof w:val="0"/>
                    <w:sz w:val="26"/>
                    <w:szCs w:val="26"/>
                    <w:rtl/>
                  </w:rPr>
                  <w:t>***</w:t>
                </w:r>
                <w:r w:rsidR="006A18F1">
                  <w:rPr>
                    <w:rFonts w:ascii="Arial" w:hAnsi="Arial"/>
                    <w:b/>
                    <w:bCs/>
                    <w:noProof w:val="0"/>
                    <w:sz w:val="26"/>
                    <w:szCs w:val="26"/>
                    <w:rtl/>
                  </w:rPr>
                  <w:t xml:space="preserve"> (מנהל עיזבון)</w:t>
                </w:r>
              </w:sdtContent>
            </w:sdt>
            <w:r w:rsidR="006A18F1">
              <w:rPr>
                <w:rFonts w:ascii="Arial" w:hAnsi="Arial" w:hint="cs"/>
                <w:b/>
                <w:bCs/>
                <w:noProof w:val="0"/>
                <w:sz w:val="26"/>
                <w:szCs w:val="26"/>
                <w:rtl/>
              </w:rPr>
              <w:t xml:space="preserve"> </w:t>
            </w:r>
          </w:p>
        </w:tc>
      </w:tr>
      <w:tr w:rsidR="006A18F1" w:rsidTr="00FB7487">
        <w:tc>
          <w:tcPr>
            <w:tcW w:w="8820" w:type="dxa"/>
            <w:gridSpan w:val="3"/>
          </w:tcPr>
          <w:p w:rsidR="006A18F1" w:rsidRDefault="006A18F1" w:rsidP="001A3FA3">
            <w:pPr>
              <w:rPr>
                <w:b/>
                <w:bCs/>
                <w:sz w:val="26"/>
                <w:szCs w:val="26"/>
              </w:rPr>
            </w:pPr>
            <w:r>
              <w:rPr>
                <w:rFonts w:hint="cs"/>
                <w:b/>
                <w:bCs/>
                <w:rtl/>
              </w:rPr>
              <w:t xml:space="preserve"> </w:t>
            </w:r>
            <w:r>
              <w:rPr>
                <w:rFonts w:hint="cs"/>
                <w:b/>
                <w:bCs/>
                <w:sz w:val="26"/>
                <w:szCs w:val="26"/>
                <w:rtl/>
              </w:rPr>
              <w:t xml:space="preserve">בעניין </w:t>
            </w:r>
            <w:sdt>
              <w:sdtPr>
                <w:rPr>
                  <w:rFonts w:hint="cs"/>
                  <w:b/>
                  <w:bCs/>
                  <w:sz w:val="26"/>
                  <w:szCs w:val="26"/>
                  <w:rtl/>
                </w:rPr>
                <w:alias w:val="2881"/>
                <w:tag w:val="2881"/>
                <w:id w:val="1196428566"/>
                <w:placeholder>
                  <w:docPart w:val="667469D3BA604D1EAF46321549EBE0CC"/>
                </w:placeholder>
                <w:text w:multiLine="1"/>
              </w:sdtPr>
              <w:sdtEndPr/>
              <w:sdtContent>
                <w:r>
                  <w:rPr>
                    <w:rFonts w:hint="cs"/>
                    <w:b/>
                    <w:bCs/>
                    <w:sz w:val="26"/>
                    <w:szCs w:val="26"/>
                    <w:rtl/>
                  </w:rPr>
                  <w:t>המנוח</w:t>
                </w:r>
              </w:sdtContent>
            </w:sdt>
            <w:r>
              <w:rPr>
                <w:rFonts w:hint="cs"/>
                <w:b/>
                <w:bCs/>
                <w:sz w:val="26"/>
                <w:szCs w:val="26"/>
                <w:rtl/>
              </w:rPr>
              <w:t xml:space="preserve"> </w:t>
            </w:r>
            <w:r w:rsidR="001A3FA3">
              <w:rPr>
                <w:rFonts w:hint="cs"/>
                <w:b/>
                <w:bCs/>
                <w:sz w:val="26"/>
                <w:szCs w:val="26"/>
                <w:rtl/>
              </w:rPr>
              <w:t>***</w:t>
            </w:r>
          </w:p>
          <w:p w:rsidR="006A18F1" w:rsidRDefault="006A18F1" w:rsidP="00FB7487">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A18F1" w:rsidRPr="00EB697C" w:rsidTr="00FB7487">
        <w:trPr>
          <w:jc w:val="center"/>
        </w:trPr>
        <w:tc>
          <w:tcPr>
            <w:tcW w:w="8820" w:type="dxa"/>
          </w:tcPr>
          <w:p w:rsidR="006A18F1" w:rsidRPr="00EB697C" w:rsidRDefault="006A18F1" w:rsidP="00FB7487">
            <w:pPr>
              <w:bidi w:val="0"/>
              <w:jc w:val="center"/>
              <w:rPr>
                <w:rFonts w:ascii="Arial" w:hAnsi="Arial"/>
                <w:b/>
                <w:bCs/>
                <w:i/>
                <w:iCs/>
                <w:noProof w:val="0"/>
                <w:sz w:val="36"/>
                <w:szCs w:val="36"/>
              </w:rPr>
            </w:pPr>
          </w:p>
          <w:p w:rsidR="006A18F1" w:rsidRPr="00EB697C" w:rsidRDefault="006A18F1" w:rsidP="00FB7487">
            <w:pPr>
              <w:bidi w:val="0"/>
              <w:jc w:val="center"/>
              <w:rPr>
                <w:rFonts w:ascii="Arial" w:hAnsi="Arial"/>
                <w:b/>
                <w:bCs/>
                <w:i/>
                <w:iCs/>
                <w:noProof w:val="0"/>
                <w:sz w:val="36"/>
                <w:szCs w:val="36"/>
                <w:u w:val="single"/>
              </w:rPr>
            </w:pPr>
            <w:r w:rsidRPr="00EB697C">
              <w:rPr>
                <w:rFonts w:ascii="Arial" w:hAnsi="Arial" w:hint="cs"/>
                <w:b/>
                <w:bCs/>
                <w:i/>
                <w:iCs/>
                <w:noProof w:val="0"/>
                <w:sz w:val="36"/>
                <w:szCs w:val="36"/>
                <w:u w:val="single"/>
                <w:rtl/>
              </w:rPr>
              <w:t>החלטה</w:t>
            </w:r>
          </w:p>
        </w:tc>
      </w:tr>
    </w:tbl>
    <w:p w:rsidR="006A18F1" w:rsidRDefault="006A18F1" w:rsidP="006A18F1">
      <w:pPr>
        <w:spacing w:line="360" w:lineRule="auto"/>
        <w:jc w:val="both"/>
        <w:rPr>
          <w:rFonts w:ascii="Arial" w:hAnsi="Arial"/>
          <w:noProof w:val="0"/>
          <w:rtl/>
        </w:rPr>
      </w:pPr>
    </w:p>
    <w:p w:rsidR="006A18F1" w:rsidRDefault="006A18F1" w:rsidP="006A18F1">
      <w:pPr>
        <w:spacing w:line="360" w:lineRule="auto"/>
        <w:jc w:val="both"/>
        <w:rPr>
          <w:rFonts w:ascii="David" w:hAnsi="David"/>
        </w:rPr>
      </w:pPr>
      <w:r>
        <w:rPr>
          <w:rFonts w:ascii="David" w:hAnsi="David"/>
          <w:rtl/>
        </w:rPr>
        <w:t>לפניי בקשה למינוי מנהל עיזבון.</w:t>
      </w:r>
    </w:p>
    <w:p w:rsidR="006A18F1" w:rsidRDefault="006A18F1" w:rsidP="006A18F1">
      <w:pPr>
        <w:spacing w:line="360" w:lineRule="auto"/>
        <w:jc w:val="both"/>
        <w:rPr>
          <w:rFonts w:ascii="David" w:hAnsi="David"/>
          <w:rtl/>
        </w:rPr>
      </w:pPr>
    </w:p>
    <w:p w:rsidR="006A18F1" w:rsidRDefault="006A18F1" w:rsidP="006A18F1">
      <w:pPr>
        <w:spacing w:line="360" w:lineRule="auto"/>
        <w:jc w:val="both"/>
        <w:rPr>
          <w:rFonts w:ascii="David" w:hAnsi="David"/>
          <w:b/>
          <w:bCs/>
          <w:u w:val="single"/>
          <w:rtl/>
        </w:rPr>
      </w:pPr>
      <w:r>
        <w:rPr>
          <w:rFonts w:ascii="David" w:hAnsi="David"/>
          <w:b/>
          <w:bCs/>
          <w:u w:val="single"/>
          <w:rtl/>
        </w:rPr>
        <w:t>רקע עובדתי רלוונטי לבקשה זו</w:t>
      </w:r>
    </w:p>
    <w:p w:rsidR="006A18F1" w:rsidRDefault="006A18F1" w:rsidP="006A18F1">
      <w:pPr>
        <w:spacing w:line="360" w:lineRule="auto"/>
        <w:jc w:val="both"/>
        <w:rPr>
          <w:rFonts w:ascii="David" w:hAnsi="David"/>
          <w:rtl/>
        </w:rPr>
      </w:pPr>
    </w:p>
    <w:p w:rsidR="006A18F1" w:rsidRDefault="006A18F1" w:rsidP="007B0067">
      <w:pPr>
        <w:pStyle w:val="aa"/>
        <w:numPr>
          <w:ilvl w:val="0"/>
          <w:numId w:val="1"/>
        </w:numPr>
        <w:spacing w:line="360" w:lineRule="auto"/>
        <w:jc w:val="both"/>
        <w:rPr>
          <w:rFonts w:ascii="David" w:hAnsi="David"/>
          <w:rtl/>
        </w:rPr>
      </w:pPr>
      <w:r>
        <w:rPr>
          <w:rFonts w:ascii="David" w:hAnsi="David"/>
          <w:rtl/>
        </w:rPr>
        <w:t xml:space="preserve">למנוח מר </w:t>
      </w:r>
      <w:r w:rsidR="007B0067">
        <w:rPr>
          <w:rFonts w:ascii="David" w:hAnsi="David" w:hint="cs"/>
          <w:rtl/>
        </w:rPr>
        <w:t>***</w:t>
      </w:r>
      <w:r>
        <w:rPr>
          <w:rFonts w:ascii="David" w:hAnsi="David"/>
          <w:rtl/>
        </w:rPr>
        <w:t xml:space="preserve"> ז"ל (להלן: "</w:t>
      </w:r>
      <w:r>
        <w:rPr>
          <w:rFonts w:ascii="David" w:hAnsi="David"/>
          <w:b/>
          <w:bCs/>
          <w:rtl/>
        </w:rPr>
        <w:t>המנוח</w:t>
      </w:r>
      <w:r>
        <w:rPr>
          <w:rFonts w:ascii="David" w:hAnsi="David"/>
          <w:rtl/>
        </w:rPr>
        <w:t xml:space="preserve">") ולאישתו הגב' </w:t>
      </w:r>
      <w:r w:rsidR="007B0067">
        <w:rPr>
          <w:rFonts w:ascii="David" w:hAnsi="David" w:hint="cs"/>
          <w:rtl/>
        </w:rPr>
        <w:t>***</w:t>
      </w:r>
      <w:r>
        <w:rPr>
          <w:rFonts w:ascii="David" w:hAnsi="David"/>
          <w:rtl/>
        </w:rPr>
        <w:t xml:space="preserve"> ז"ל (להלן: "</w:t>
      </w:r>
      <w:r>
        <w:rPr>
          <w:rFonts w:ascii="David" w:hAnsi="David"/>
          <w:b/>
          <w:bCs/>
          <w:rtl/>
        </w:rPr>
        <w:t>המנוחה</w:t>
      </w:r>
      <w:r>
        <w:rPr>
          <w:rFonts w:ascii="David" w:hAnsi="David"/>
          <w:rtl/>
        </w:rPr>
        <w:t xml:space="preserve">") נולדו 9 ילדים משותפים: מר </w:t>
      </w:r>
      <w:r w:rsidR="007B0067">
        <w:rPr>
          <w:rFonts w:ascii="David" w:hAnsi="David" w:hint="cs"/>
          <w:rtl/>
        </w:rPr>
        <w:t>***</w:t>
      </w:r>
      <w:r>
        <w:rPr>
          <w:rFonts w:ascii="David" w:hAnsi="David"/>
          <w:rtl/>
        </w:rPr>
        <w:t xml:space="preserve"> (להלן: "</w:t>
      </w:r>
      <w:r>
        <w:rPr>
          <w:rFonts w:ascii="David" w:hAnsi="David"/>
          <w:b/>
          <w:bCs/>
          <w:rtl/>
        </w:rPr>
        <w:t>ש</w:t>
      </w:r>
      <w:r w:rsidR="007B0067">
        <w:rPr>
          <w:rFonts w:ascii="David" w:hAnsi="David" w:hint="cs"/>
          <w:b/>
          <w:bCs/>
          <w:rtl/>
        </w:rPr>
        <w:t>.</w:t>
      </w:r>
      <w:r w:rsidR="00E90FFA">
        <w:rPr>
          <w:rFonts w:ascii="David" w:hAnsi="David"/>
          <w:rtl/>
        </w:rPr>
        <w:t>")</w:t>
      </w:r>
      <w:r w:rsidR="00E90FFA">
        <w:rPr>
          <w:rFonts w:ascii="David" w:hAnsi="David" w:hint="cs"/>
          <w:rtl/>
        </w:rPr>
        <w:t>,</w:t>
      </w:r>
      <w:r>
        <w:rPr>
          <w:rFonts w:ascii="David" w:hAnsi="David"/>
          <w:rtl/>
        </w:rPr>
        <w:t xml:space="preserve"> מר </w:t>
      </w:r>
      <w:r w:rsidR="007B0067">
        <w:rPr>
          <w:rFonts w:ascii="David" w:hAnsi="David" w:hint="cs"/>
          <w:rtl/>
        </w:rPr>
        <w:t>***</w:t>
      </w:r>
      <w:r>
        <w:rPr>
          <w:rFonts w:ascii="David" w:hAnsi="David"/>
          <w:rtl/>
        </w:rPr>
        <w:t xml:space="preserve"> (להלן: "</w:t>
      </w:r>
      <w:r>
        <w:rPr>
          <w:rFonts w:ascii="David" w:hAnsi="David"/>
          <w:b/>
          <w:bCs/>
          <w:rtl/>
        </w:rPr>
        <w:t>א</w:t>
      </w:r>
      <w:r w:rsidR="007B0067">
        <w:rPr>
          <w:rFonts w:ascii="David" w:hAnsi="David" w:hint="cs"/>
          <w:b/>
          <w:bCs/>
          <w:rtl/>
        </w:rPr>
        <w:t>.</w:t>
      </w:r>
      <w:r>
        <w:rPr>
          <w:rFonts w:ascii="David" w:hAnsi="David"/>
          <w:rtl/>
        </w:rPr>
        <w:t xml:space="preserve">"), מר </w:t>
      </w:r>
      <w:r w:rsidR="007B0067">
        <w:rPr>
          <w:rFonts w:ascii="David" w:hAnsi="David" w:hint="cs"/>
          <w:rtl/>
        </w:rPr>
        <w:t>***</w:t>
      </w:r>
      <w:r>
        <w:rPr>
          <w:rFonts w:ascii="David" w:hAnsi="David"/>
          <w:rtl/>
        </w:rPr>
        <w:t xml:space="preserve"> (להלן: "</w:t>
      </w:r>
      <w:r>
        <w:rPr>
          <w:rFonts w:ascii="David" w:hAnsi="David"/>
          <w:b/>
          <w:bCs/>
          <w:rtl/>
        </w:rPr>
        <w:t>נ</w:t>
      </w:r>
      <w:r w:rsidR="007B0067">
        <w:rPr>
          <w:rFonts w:ascii="David" w:hAnsi="David" w:hint="cs"/>
          <w:b/>
          <w:bCs/>
          <w:rtl/>
        </w:rPr>
        <w:t>.</w:t>
      </w:r>
      <w:r>
        <w:rPr>
          <w:rFonts w:ascii="David" w:hAnsi="David"/>
          <w:rtl/>
        </w:rPr>
        <w:t xml:space="preserve">"), מר </w:t>
      </w:r>
      <w:r w:rsidR="007B0067">
        <w:rPr>
          <w:rFonts w:ascii="David" w:hAnsi="David" w:hint="cs"/>
          <w:rtl/>
        </w:rPr>
        <w:t>***</w:t>
      </w:r>
      <w:r>
        <w:rPr>
          <w:rFonts w:ascii="David" w:hAnsi="David"/>
          <w:rtl/>
        </w:rPr>
        <w:t xml:space="preserve"> (להלן: "</w:t>
      </w:r>
      <w:r>
        <w:rPr>
          <w:rFonts w:ascii="David" w:hAnsi="David"/>
          <w:b/>
          <w:bCs/>
          <w:rtl/>
        </w:rPr>
        <w:t>ג</w:t>
      </w:r>
      <w:r w:rsidR="007B0067">
        <w:rPr>
          <w:rFonts w:ascii="David" w:hAnsi="David" w:hint="cs"/>
          <w:b/>
          <w:bCs/>
          <w:rtl/>
        </w:rPr>
        <w:t>.</w:t>
      </w:r>
      <w:r>
        <w:rPr>
          <w:rFonts w:ascii="David" w:hAnsi="David"/>
          <w:rtl/>
        </w:rPr>
        <w:t xml:space="preserve">"), גב' </w:t>
      </w:r>
      <w:r w:rsidR="007B0067">
        <w:rPr>
          <w:rFonts w:ascii="David" w:hAnsi="David" w:hint="cs"/>
          <w:rtl/>
        </w:rPr>
        <w:t>***</w:t>
      </w:r>
      <w:r>
        <w:rPr>
          <w:rFonts w:ascii="David" w:hAnsi="David"/>
          <w:rtl/>
        </w:rPr>
        <w:t xml:space="preserve"> (להלן: "</w:t>
      </w:r>
      <w:r>
        <w:rPr>
          <w:rFonts w:ascii="David" w:hAnsi="David"/>
          <w:b/>
          <w:bCs/>
          <w:rtl/>
        </w:rPr>
        <w:t>ס</w:t>
      </w:r>
      <w:r w:rsidR="007B0067">
        <w:rPr>
          <w:rFonts w:ascii="David" w:hAnsi="David" w:hint="cs"/>
          <w:b/>
          <w:bCs/>
          <w:rtl/>
        </w:rPr>
        <w:t>.</w:t>
      </w:r>
      <w:r>
        <w:rPr>
          <w:rFonts w:ascii="David" w:hAnsi="David"/>
          <w:rtl/>
        </w:rPr>
        <w:t xml:space="preserve">"), גב' </w:t>
      </w:r>
      <w:r w:rsidR="007B0067">
        <w:rPr>
          <w:rFonts w:ascii="David" w:hAnsi="David" w:hint="cs"/>
          <w:rtl/>
        </w:rPr>
        <w:t>***</w:t>
      </w:r>
      <w:r>
        <w:rPr>
          <w:rFonts w:ascii="David" w:hAnsi="David"/>
          <w:rtl/>
        </w:rPr>
        <w:t xml:space="preserve"> (להלן: "</w:t>
      </w:r>
      <w:r w:rsidR="007B0067">
        <w:rPr>
          <w:rFonts w:ascii="David" w:hAnsi="David" w:hint="cs"/>
          <w:b/>
          <w:bCs/>
          <w:rtl/>
        </w:rPr>
        <w:t>ח.</w:t>
      </w:r>
      <w:r>
        <w:rPr>
          <w:rFonts w:ascii="David" w:hAnsi="David"/>
          <w:rtl/>
        </w:rPr>
        <w:t xml:space="preserve">"), גב' </w:t>
      </w:r>
      <w:r w:rsidR="007B0067">
        <w:rPr>
          <w:rFonts w:ascii="David" w:hAnsi="David" w:hint="cs"/>
          <w:rtl/>
        </w:rPr>
        <w:t>***</w:t>
      </w:r>
      <w:r>
        <w:rPr>
          <w:rFonts w:ascii="David" w:hAnsi="David"/>
          <w:rtl/>
        </w:rPr>
        <w:t xml:space="preserve"> (להלן: "</w:t>
      </w:r>
      <w:r>
        <w:rPr>
          <w:rFonts w:ascii="David" w:hAnsi="David"/>
          <w:b/>
          <w:bCs/>
          <w:rtl/>
        </w:rPr>
        <w:t>ר</w:t>
      </w:r>
      <w:r w:rsidR="007B0067">
        <w:rPr>
          <w:rFonts w:ascii="David" w:hAnsi="David" w:hint="cs"/>
          <w:b/>
          <w:bCs/>
          <w:rtl/>
        </w:rPr>
        <w:t>.</w:t>
      </w:r>
      <w:r>
        <w:rPr>
          <w:rFonts w:ascii="David" w:hAnsi="David"/>
          <w:rtl/>
        </w:rPr>
        <w:t xml:space="preserve">"), מר </w:t>
      </w:r>
      <w:r w:rsidR="007B0067">
        <w:rPr>
          <w:rFonts w:ascii="David" w:hAnsi="David" w:hint="cs"/>
          <w:rtl/>
        </w:rPr>
        <w:t>***</w:t>
      </w:r>
      <w:r>
        <w:rPr>
          <w:rFonts w:ascii="David" w:hAnsi="David"/>
          <w:rtl/>
        </w:rPr>
        <w:t xml:space="preserve"> (להלן: "</w:t>
      </w:r>
      <w:r>
        <w:rPr>
          <w:rFonts w:ascii="David" w:hAnsi="David"/>
          <w:b/>
          <w:bCs/>
          <w:rtl/>
        </w:rPr>
        <w:t>י</w:t>
      </w:r>
      <w:r w:rsidR="007B0067">
        <w:rPr>
          <w:rFonts w:ascii="David" w:hAnsi="David" w:hint="cs"/>
          <w:b/>
          <w:bCs/>
          <w:rtl/>
        </w:rPr>
        <w:t>.</w:t>
      </w:r>
      <w:r>
        <w:rPr>
          <w:rFonts w:ascii="David" w:hAnsi="David"/>
          <w:rtl/>
        </w:rPr>
        <w:t xml:space="preserve">"), מר </w:t>
      </w:r>
      <w:r w:rsidR="007B0067">
        <w:rPr>
          <w:rFonts w:ascii="David" w:hAnsi="David" w:hint="cs"/>
          <w:rtl/>
        </w:rPr>
        <w:t>***</w:t>
      </w:r>
      <w:r>
        <w:rPr>
          <w:rFonts w:ascii="David" w:hAnsi="David"/>
          <w:rtl/>
        </w:rPr>
        <w:t xml:space="preserve"> (להלן: "</w:t>
      </w:r>
      <w:r>
        <w:rPr>
          <w:rFonts w:ascii="David" w:hAnsi="David"/>
          <w:b/>
          <w:bCs/>
          <w:rtl/>
        </w:rPr>
        <w:t>א</w:t>
      </w:r>
      <w:r w:rsidR="007B0067">
        <w:rPr>
          <w:rFonts w:ascii="David" w:hAnsi="David" w:hint="cs"/>
          <w:b/>
          <w:bCs/>
          <w:rtl/>
        </w:rPr>
        <w:t>.ש.</w:t>
      </w:r>
      <w:r>
        <w:rPr>
          <w:rFonts w:ascii="David" w:hAnsi="David"/>
          <w:rtl/>
        </w:rPr>
        <w:t>").</w:t>
      </w:r>
    </w:p>
    <w:p w:rsidR="006A18F1" w:rsidRDefault="006A18F1" w:rsidP="006A18F1">
      <w:pPr>
        <w:pStyle w:val="aa"/>
        <w:spacing w:line="360" w:lineRule="auto"/>
        <w:jc w:val="both"/>
        <w:rPr>
          <w:rFonts w:ascii="David" w:hAnsi="David"/>
        </w:rPr>
      </w:pPr>
    </w:p>
    <w:p w:rsidR="006A18F1" w:rsidRDefault="006A18F1" w:rsidP="006A18F1">
      <w:pPr>
        <w:pStyle w:val="aa"/>
        <w:numPr>
          <w:ilvl w:val="0"/>
          <w:numId w:val="1"/>
        </w:numPr>
        <w:spacing w:line="360" w:lineRule="auto"/>
        <w:jc w:val="both"/>
        <w:rPr>
          <w:rFonts w:ascii="David" w:hAnsi="David"/>
        </w:rPr>
      </w:pPr>
      <w:r>
        <w:rPr>
          <w:rFonts w:ascii="David" w:hAnsi="David"/>
          <w:rtl/>
        </w:rPr>
        <w:t>המנוח הותיר אחריו צוואה מיום 20.8.14 (להלן: "</w:t>
      </w:r>
      <w:r>
        <w:rPr>
          <w:rFonts w:ascii="David" w:hAnsi="David"/>
          <w:b/>
          <w:bCs/>
          <w:rtl/>
        </w:rPr>
        <w:t>הצוואה</w:t>
      </w:r>
      <w:r>
        <w:rPr>
          <w:rFonts w:ascii="David" w:hAnsi="David"/>
          <w:rtl/>
        </w:rPr>
        <w:t xml:space="preserve">") במסגרתה ציווה, בין היתר, כי </w:t>
      </w:r>
      <w:r w:rsidR="006777A8">
        <w:rPr>
          <w:rFonts w:ascii="David" w:hAnsi="David"/>
          <w:rtl/>
        </w:rPr>
        <w:t>נ.</w:t>
      </w:r>
      <w:r>
        <w:rPr>
          <w:rFonts w:ascii="David" w:hAnsi="David"/>
          <w:rtl/>
        </w:rPr>
        <w:t xml:space="preserve"> ימונה כמנהל עיזבון וכמוציא לפועל של הצוואה </w:t>
      </w:r>
      <w:r>
        <w:rPr>
          <w:rFonts w:ascii="David" w:hAnsi="David"/>
          <w:b/>
          <w:bCs/>
          <w:rtl/>
        </w:rPr>
        <w:t>ראו: ס' 8 לצוואה</w:t>
      </w:r>
      <w:r>
        <w:rPr>
          <w:rFonts w:ascii="David" w:hAnsi="David"/>
          <w:rtl/>
        </w:rPr>
        <w:t>.</w:t>
      </w:r>
    </w:p>
    <w:p w:rsidR="006A18F1" w:rsidRDefault="006A18F1" w:rsidP="006A18F1">
      <w:pPr>
        <w:pStyle w:val="aa"/>
        <w:rPr>
          <w:rFonts w:ascii="David" w:hAnsi="David"/>
        </w:rPr>
      </w:pPr>
    </w:p>
    <w:p w:rsidR="006A18F1" w:rsidRDefault="006A18F1" w:rsidP="005F4090">
      <w:pPr>
        <w:pStyle w:val="aa"/>
        <w:numPr>
          <w:ilvl w:val="0"/>
          <w:numId w:val="1"/>
        </w:numPr>
        <w:spacing w:line="360" w:lineRule="auto"/>
        <w:jc w:val="both"/>
        <w:rPr>
          <w:rFonts w:ascii="David" w:hAnsi="David"/>
          <w:rtl/>
        </w:rPr>
      </w:pPr>
      <w:r>
        <w:rPr>
          <w:rFonts w:ascii="David" w:hAnsi="David"/>
          <w:rtl/>
        </w:rPr>
        <w:t xml:space="preserve">המנוח נפטר ביום </w:t>
      </w:r>
      <w:r w:rsidR="00AE156D">
        <w:rPr>
          <w:rFonts w:ascii="David" w:hAnsi="David" w:hint="cs"/>
          <w:rtl/>
        </w:rPr>
        <w:t>00</w:t>
      </w:r>
      <w:r>
        <w:rPr>
          <w:rFonts w:ascii="David" w:hAnsi="David"/>
          <w:rtl/>
        </w:rPr>
        <w:t>.</w:t>
      </w:r>
      <w:r w:rsidR="00AE156D">
        <w:rPr>
          <w:rFonts w:ascii="David" w:hAnsi="David" w:hint="cs"/>
          <w:rtl/>
        </w:rPr>
        <w:t>00</w:t>
      </w:r>
      <w:r>
        <w:rPr>
          <w:rFonts w:ascii="David" w:hAnsi="David"/>
          <w:rtl/>
        </w:rPr>
        <w:t xml:space="preserve">.20 והוגשה לרשם לענייני ירושה בקשה לקיום הצוואה. ביום </w:t>
      </w:r>
      <w:r w:rsidR="005F4090">
        <w:rPr>
          <w:rFonts w:ascii="David" w:hAnsi="David" w:hint="cs"/>
          <w:rtl/>
        </w:rPr>
        <w:t>00</w:t>
      </w:r>
      <w:r>
        <w:rPr>
          <w:rFonts w:ascii="David" w:hAnsi="David"/>
          <w:rtl/>
        </w:rPr>
        <w:t>.</w:t>
      </w:r>
      <w:r w:rsidR="005F4090">
        <w:rPr>
          <w:rFonts w:ascii="David" w:hAnsi="David" w:hint="cs"/>
          <w:rtl/>
        </w:rPr>
        <w:t>00</w:t>
      </w:r>
      <w:r>
        <w:rPr>
          <w:rFonts w:ascii="David" w:hAnsi="David"/>
          <w:rtl/>
        </w:rPr>
        <w:t xml:space="preserve">.20, ניתן על-ידי הרשם לענייני ירושה צו קיום צוואה, בגדרו מונה </w:t>
      </w:r>
      <w:r w:rsidR="006777A8">
        <w:rPr>
          <w:rFonts w:ascii="David" w:hAnsi="David"/>
          <w:rtl/>
        </w:rPr>
        <w:t>נ.</w:t>
      </w:r>
      <w:r>
        <w:rPr>
          <w:rFonts w:ascii="David" w:hAnsi="David"/>
          <w:rtl/>
        </w:rPr>
        <w:t xml:space="preserve"> כמנהל העיזבון.</w:t>
      </w:r>
    </w:p>
    <w:p w:rsidR="006A18F1" w:rsidRDefault="006A18F1" w:rsidP="006A18F1">
      <w:pPr>
        <w:pStyle w:val="aa"/>
        <w:rPr>
          <w:rFonts w:ascii="David" w:hAnsi="David"/>
        </w:rPr>
      </w:pPr>
    </w:p>
    <w:p w:rsidR="006A18F1" w:rsidRDefault="006A18F1" w:rsidP="00627599">
      <w:pPr>
        <w:pStyle w:val="aa"/>
        <w:numPr>
          <w:ilvl w:val="0"/>
          <w:numId w:val="1"/>
        </w:numPr>
        <w:spacing w:line="360" w:lineRule="auto"/>
        <w:jc w:val="both"/>
        <w:rPr>
          <w:rFonts w:ascii="David" w:hAnsi="David"/>
          <w:rtl/>
        </w:rPr>
      </w:pPr>
      <w:r>
        <w:rPr>
          <w:rFonts w:ascii="David" w:hAnsi="David"/>
          <w:rtl/>
        </w:rPr>
        <w:t>א</w:t>
      </w:r>
      <w:r w:rsidR="00904521">
        <w:rPr>
          <w:rFonts w:ascii="David" w:hAnsi="David" w:hint="cs"/>
          <w:rtl/>
        </w:rPr>
        <w:t>.ש.</w:t>
      </w:r>
      <w:r>
        <w:rPr>
          <w:rFonts w:ascii="David" w:hAnsi="David"/>
          <w:rtl/>
        </w:rPr>
        <w:t xml:space="preserve">, אשר הודר על-ידי המנוח מכל חלק בעיזבונו </w:t>
      </w:r>
      <w:r>
        <w:rPr>
          <w:rFonts w:ascii="David" w:hAnsi="David"/>
          <w:b/>
          <w:bCs/>
          <w:rtl/>
        </w:rPr>
        <w:t>ראו: ס' 6 לצוואה</w:t>
      </w:r>
      <w:r>
        <w:rPr>
          <w:rFonts w:ascii="David" w:hAnsi="David"/>
          <w:rtl/>
        </w:rPr>
        <w:t>, הגיש התנגדות לבקשה לצו קיום צוואה (להלן: "</w:t>
      </w:r>
      <w:r>
        <w:rPr>
          <w:rFonts w:ascii="David" w:hAnsi="David"/>
          <w:b/>
          <w:bCs/>
          <w:rtl/>
        </w:rPr>
        <w:t>ההתנגדות</w:t>
      </w:r>
      <w:r>
        <w:rPr>
          <w:rFonts w:ascii="David" w:hAnsi="David"/>
          <w:rtl/>
        </w:rPr>
        <w:t xml:space="preserve">") ובהחלטת הרשם לענייני ירושה מיום </w:t>
      </w:r>
      <w:r w:rsidR="00AA11DB">
        <w:rPr>
          <w:rFonts w:ascii="David" w:hAnsi="David" w:hint="cs"/>
          <w:rtl/>
        </w:rPr>
        <w:t>00</w:t>
      </w:r>
      <w:r>
        <w:rPr>
          <w:rFonts w:ascii="David" w:hAnsi="David"/>
          <w:rtl/>
        </w:rPr>
        <w:t>.</w:t>
      </w:r>
      <w:r w:rsidR="00AA11DB">
        <w:rPr>
          <w:rFonts w:ascii="David" w:hAnsi="David" w:hint="cs"/>
          <w:rtl/>
        </w:rPr>
        <w:t>00</w:t>
      </w:r>
      <w:r>
        <w:rPr>
          <w:rFonts w:ascii="David" w:hAnsi="David"/>
          <w:rtl/>
        </w:rPr>
        <w:t xml:space="preserve">.20, </w:t>
      </w:r>
      <w:r>
        <w:rPr>
          <w:rFonts w:ascii="David" w:hAnsi="David"/>
          <w:rtl/>
        </w:rPr>
        <w:lastRenderedPageBreak/>
        <w:t>בהתאם לסעיף 67 א (א) (8) לחוק הירושה, התשכ"ה–1965 (להלן: "</w:t>
      </w:r>
      <w:r>
        <w:rPr>
          <w:rFonts w:ascii="David" w:hAnsi="David"/>
          <w:b/>
          <w:bCs/>
          <w:rtl/>
        </w:rPr>
        <w:t>חוק הירושה</w:t>
      </w:r>
      <w:r>
        <w:rPr>
          <w:rFonts w:ascii="David" w:hAnsi="David"/>
          <w:rtl/>
        </w:rPr>
        <w:t xml:space="preserve">") ההליכים בעניין עיזבון המנוח הועברו לבית משפט זה, תוך שנקבע בהחלטת הרשם לענייני ירושה גם כי צו קיום הצוואה מיום </w:t>
      </w:r>
      <w:r w:rsidR="00627599">
        <w:rPr>
          <w:rFonts w:ascii="David" w:hAnsi="David" w:hint="cs"/>
          <w:rtl/>
        </w:rPr>
        <w:t>00</w:t>
      </w:r>
      <w:r>
        <w:rPr>
          <w:rFonts w:ascii="David" w:hAnsi="David"/>
          <w:rtl/>
        </w:rPr>
        <w:t>.</w:t>
      </w:r>
      <w:r w:rsidR="00627599">
        <w:rPr>
          <w:rFonts w:ascii="David" w:hAnsi="David" w:hint="cs"/>
          <w:rtl/>
        </w:rPr>
        <w:t>00</w:t>
      </w:r>
      <w:r>
        <w:rPr>
          <w:rFonts w:ascii="David" w:hAnsi="David"/>
          <w:rtl/>
        </w:rPr>
        <w:t>.20 מעוכב עד להחלטה אחרת.</w:t>
      </w:r>
    </w:p>
    <w:p w:rsidR="006A18F1" w:rsidRDefault="006A18F1" w:rsidP="006A18F1">
      <w:pPr>
        <w:pStyle w:val="aa"/>
        <w:rPr>
          <w:rFonts w:ascii="David" w:hAnsi="David"/>
        </w:rPr>
      </w:pPr>
    </w:p>
    <w:p w:rsidR="006A18F1" w:rsidRDefault="006A18F1" w:rsidP="007D703B">
      <w:pPr>
        <w:pStyle w:val="aa"/>
        <w:numPr>
          <w:ilvl w:val="0"/>
          <w:numId w:val="1"/>
        </w:numPr>
        <w:spacing w:line="360" w:lineRule="auto"/>
        <w:jc w:val="both"/>
        <w:rPr>
          <w:rFonts w:ascii="David" w:hAnsi="David"/>
          <w:rtl/>
        </w:rPr>
      </w:pPr>
      <w:r>
        <w:rPr>
          <w:rFonts w:ascii="David" w:hAnsi="David"/>
          <w:rtl/>
        </w:rPr>
        <w:t xml:space="preserve">עם העברת ההליכים לבית משפט זה, הגיש </w:t>
      </w:r>
      <w:r w:rsidR="006777A8">
        <w:rPr>
          <w:rFonts w:ascii="David" w:hAnsi="David"/>
          <w:rtl/>
        </w:rPr>
        <w:t>נ.</w:t>
      </w:r>
      <w:r>
        <w:rPr>
          <w:rFonts w:ascii="David" w:hAnsi="David"/>
          <w:rtl/>
        </w:rPr>
        <w:t xml:space="preserve"> בקשה למינוי מנהל עיזבון זמני במסגרת ת"ע </w:t>
      </w:r>
      <w:r w:rsidR="007D703B">
        <w:rPr>
          <w:rFonts w:ascii="David" w:hAnsi="David" w:hint="cs"/>
          <w:rtl/>
        </w:rPr>
        <w:t>***</w:t>
      </w:r>
      <w:r>
        <w:rPr>
          <w:rFonts w:ascii="David" w:hAnsi="David"/>
          <w:rtl/>
        </w:rPr>
        <w:t xml:space="preserve"> (להלן: "</w:t>
      </w:r>
      <w:r>
        <w:rPr>
          <w:rFonts w:ascii="David" w:hAnsi="David"/>
          <w:b/>
          <w:bCs/>
          <w:rtl/>
        </w:rPr>
        <w:t>הבקשה למינוי מנהל עיזבון זמני</w:t>
      </w:r>
      <w:r>
        <w:rPr>
          <w:rFonts w:ascii="David" w:hAnsi="David"/>
          <w:rtl/>
        </w:rPr>
        <w:t xml:space="preserve">") ולאחר קבלת תגובות כל הצדדים הרלוונטיים הוחלט למנות את עוה"ד </w:t>
      </w:r>
      <w:r w:rsidR="00D158F0">
        <w:rPr>
          <w:rFonts w:ascii="David" w:hAnsi="David" w:hint="cs"/>
          <w:rtl/>
        </w:rPr>
        <w:t>***</w:t>
      </w:r>
      <w:r>
        <w:rPr>
          <w:rFonts w:ascii="David" w:hAnsi="David"/>
          <w:rtl/>
        </w:rPr>
        <w:t xml:space="preserve"> כמנהל עיזבון זמני (להלן: "</w:t>
      </w:r>
      <w:r>
        <w:rPr>
          <w:rFonts w:ascii="David" w:hAnsi="David"/>
          <w:b/>
          <w:bCs/>
          <w:rtl/>
        </w:rPr>
        <w:t xml:space="preserve">מנהל </w:t>
      </w:r>
      <w:r w:rsidR="003A3D51">
        <w:rPr>
          <w:rFonts w:ascii="David" w:hAnsi="David" w:hint="cs"/>
          <w:b/>
          <w:bCs/>
          <w:rtl/>
        </w:rPr>
        <w:t>ה</w:t>
      </w:r>
      <w:r>
        <w:rPr>
          <w:rFonts w:ascii="David" w:hAnsi="David"/>
          <w:b/>
          <w:bCs/>
          <w:rtl/>
        </w:rPr>
        <w:t>עיזבון</w:t>
      </w:r>
      <w:r>
        <w:rPr>
          <w:rFonts w:ascii="David" w:hAnsi="David"/>
          <w:rtl/>
        </w:rPr>
        <w:t>"). צו המינוי נחתם ביום 23.3.21 (להלן: "</w:t>
      </w:r>
      <w:r>
        <w:rPr>
          <w:rFonts w:ascii="David" w:hAnsi="David"/>
          <w:b/>
          <w:bCs/>
          <w:rtl/>
        </w:rPr>
        <w:t>צו המינוי</w:t>
      </w:r>
      <w:r>
        <w:rPr>
          <w:rFonts w:ascii="David" w:hAnsi="David"/>
          <w:rtl/>
        </w:rPr>
        <w:t>").</w:t>
      </w:r>
    </w:p>
    <w:p w:rsidR="006A18F1" w:rsidRDefault="006A18F1" w:rsidP="006A18F1">
      <w:pPr>
        <w:pStyle w:val="aa"/>
        <w:rPr>
          <w:rFonts w:ascii="David" w:hAnsi="David"/>
        </w:rPr>
      </w:pPr>
    </w:p>
    <w:p w:rsidR="006A18F1" w:rsidRDefault="006A18F1" w:rsidP="007D703B">
      <w:pPr>
        <w:pStyle w:val="aa"/>
        <w:numPr>
          <w:ilvl w:val="0"/>
          <w:numId w:val="1"/>
        </w:numPr>
        <w:spacing w:line="360" w:lineRule="auto"/>
        <w:jc w:val="both"/>
        <w:rPr>
          <w:rFonts w:ascii="David" w:hAnsi="David"/>
          <w:rtl/>
        </w:rPr>
      </w:pPr>
      <w:r>
        <w:rPr>
          <w:rFonts w:ascii="David" w:hAnsi="David"/>
          <w:rtl/>
        </w:rPr>
        <w:t xml:space="preserve">בתום הדיון שהתקיים ביום 5.3.24 בתיק ההתנגדות ת"ע </w:t>
      </w:r>
      <w:r w:rsidR="007D703B">
        <w:rPr>
          <w:rFonts w:ascii="David" w:hAnsi="David" w:hint="cs"/>
          <w:rtl/>
        </w:rPr>
        <w:t>***</w:t>
      </w:r>
      <w:r>
        <w:rPr>
          <w:rFonts w:ascii="David" w:hAnsi="David"/>
          <w:rtl/>
        </w:rPr>
        <w:t xml:space="preserve">, הושגה הסכמה </w:t>
      </w:r>
      <w:r w:rsidR="00E6218A">
        <w:rPr>
          <w:rFonts w:ascii="David" w:hAnsi="David" w:hint="cs"/>
          <w:rtl/>
        </w:rPr>
        <w:t xml:space="preserve">אשר </w:t>
      </w:r>
      <w:r>
        <w:rPr>
          <w:rFonts w:ascii="David" w:hAnsi="David"/>
          <w:rtl/>
        </w:rPr>
        <w:t xml:space="preserve">לפיה, בין היתר, </w:t>
      </w:r>
      <w:r w:rsidR="00AE156D">
        <w:rPr>
          <w:rFonts w:ascii="David" w:hAnsi="David"/>
          <w:rtl/>
        </w:rPr>
        <w:t>א.ש.</w:t>
      </w:r>
      <w:r>
        <w:rPr>
          <w:rFonts w:ascii="David" w:hAnsi="David"/>
          <w:rtl/>
        </w:rPr>
        <w:t xml:space="preserve"> יחזור בו מההתנגדות ויינתן צו קיום לצוואה באופן מיידי (להלן: "</w:t>
      </w:r>
      <w:r>
        <w:rPr>
          <w:rFonts w:ascii="David" w:hAnsi="David"/>
          <w:b/>
          <w:bCs/>
          <w:rtl/>
        </w:rPr>
        <w:t>הסכמת הצדדים</w:t>
      </w:r>
      <w:r>
        <w:rPr>
          <w:rFonts w:ascii="David" w:hAnsi="David"/>
          <w:rtl/>
        </w:rPr>
        <w:t xml:space="preserve">"). </w:t>
      </w:r>
    </w:p>
    <w:p w:rsidR="006A18F1" w:rsidRDefault="006A18F1" w:rsidP="006A18F1">
      <w:pPr>
        <w:pStyle w:val="aa"/>
        <w:rPr>
          <w:rFonts w:ascii="David" w:hAnsi="David"/>
        </w:rPr>
      </w:pPr>
    </w:p>
    <w:p w:rsidR="006A18F1" w:rsidRDefault="006A18F1" w:rsidP="00E6218A">
      <w:pPr>
        <w:pStyle w:val="aa"/>
        <w:numPr>
          <w:ilvl w:val="0"/>
          <w:numId w:val="1"/>
        </w:numPr>
        <w:spacing w:line="360" w:lineRule="auto"/>
        <w:jc w:val="both"/>
        <w:rPr>
          <w:rFonts w:ascii="David" w:hAnsi="David"/>
          <w:rtl/>
        </w:rPr>
      </w:pPr>
      <w:r>
        <w:rPr>
          <w:rFonts w:ascii="David" w:hAnsi="David"/>
          <w:rtl/>
        </w:rPr>
        <w:t xml:space="preserve">הסכמת הצדדים הועברה לקבלת תגובת ב"כ היועמ"ש ולאחר שזה האחרון הודיע כי אין בכוונתו להתערב בהליכים, ניתן ביום 19.3.24 תוקף של פסק דין להסכמת הצדדים. כפועל יוצא, בהחלטה מיום 19.3.24 שניתנה בתיק מס' </w:t>
      </w:r>
      <w:r w:rsidR="00E6218A">
        <w:rPr>
          <w:rFonts w:ascii="David" w:hAnsi="David" w:hint="cs"/>
          <w:rtl/>
        </w:rPr>
        <w:t>***</w:t>
      </w:r>
      <w:r>
        <w:rPr>
          <w:rFonts w:ascii="David" w:hAnsi="David"/>
          <w:rtl/>
        </w:rPr>
        <w:t xml:space="preserve"> ושעניינו בקשה לצו קיום צוואה, נחתם צו קיום צוואה (להלן: "</w:t>
      </w:r>
      <w:r>
        <w:rPr>
          <w:rFonts w:ascii="David" w:hAnsi="David"/>
          <w:b/>
          <w:bCs/>
          <w:rtl/>
        </w:rPr>
        <w:t>צו קיום צוואה</w:t>
      </w:r>
      <w:r>
        <w:rPr>
          <w:rFonts w:ascii="David" w:hAnsi="David"/>
          <w:rtl/>
        </w:rPr>
        <w:t>").</w:t>
      </w:r>
    </w:p>
    <w:p w:rsidR="006A18F1" w:rsidRDefault="006A18F1" w:rsidP="006A18F1">
      <w:pPr>
        <w:pStyle w:val="aa"/>
        <w:rPr>
          <w:rFonts w:ascii="David" w:hAnsi="David"/>
        </w:rPr>
      </w:pPr>
    </w:p>
    <w:p w:rsidR="006A18F1" w:rsidRDefault="006A18F1" w:rsidP="00904521">
      <w:pPr>
        <w:pStyle w:val="aa"/>
        <w:numPr>
          <w:ilvl w:val="0"/>
          <w:numId w:val="1"/>
        </w:numPr>
        <w:spacing w:line="360" w:lineRule="auto"/>
        <w:jc w:val="both"/>
        <w:rPr>
          <w:rFonts w:ascii="David" w:hAnsi="David"/>
          <w:rtl/>
        </w:rPr>
      </w:pPr>
      <w:r>
        <w:rPr>
          <w:rFonts w:ascii="David" w:hAnsi="David"/>
          <w:rtl/>
        </w:rPr>
        <w:t>בעקבות מתן צו קיום הצוואה, הגישו ש</w:t>
      </w:r>
      <w:r w:rsidR="00904521">
        <w:rPr>
          <w:rFonts w:ascii="David" w:hAnsi="David" w:hint="cs"/>
          <w:rtl/>
        </w:rPr>
        <w:t>.</w:t>
      </w:r>
      <w:r>
        <w:rPr>
          <w:rFonts w:ascii="David" w:hAnsi="David"/>
          <w:rtl/>
        </w:rPr>
        <w:t>, א</w:t>
      </w:r>
      <w:r w:rsidR="00904521">
        <w:rPr>
          <w:rFonts w:ascii="David" w:hAnsi="David" w:hint="cs"/>
          <w:rtl/>
        </w:rPr>
        <w:t>.</w:t>
      </w:r>
      <w:r>
        <w:rPr>
          <w:rFonts w:ascii="David" w:hAnsi="David"/>
          <w:rtl/>
        </w:rPr>
        <w:t>, נ</w:t>
      </w:r>
      <w:r w:rsidR="00904521">
        <w:rPr>
          <w:rFonts w:ascii="David" w:hAnsi="David" w:hint="cs"/>
          <w:rtl/>
        </w:rPr>
        <w:t>.</w:t>
      </w:r>
      <w:r>
        <w:rPr>
          <w:rFonts w:ascii="David" w:hAnsi="David"/>
          <w:rtl/>
        </w:rPr>
        <w:t>, ג</w:t>
      </w:r>
      <w:r w:rsidR="00904521">
        <w:rPr>
          <w:rFonts w:ascii="David" w:hAnsi="David" w:hint="cs"/>
          <w:rtl/>
        </w:rPr>
        <w:t>.</w:t>
      </w:r>
      <w:r>
        <w:rPr>
          <w:rFonts w:ascii="David" w:hAnsi="David"/>
          <w:rtl/>
        </w:rPr>
        <w:t xml:space="preserve"> ו</w:t>
      </w:r>
      <w:r w:rsidR="00904521">
        <w:rPr>
          <w:rFonts w:ascii="David" w:hAnsi="David" w:hint="cs"/>
          <w:rtl/>
        </w:rPr>
        <w:t>-</w:t>
      </w:r>
      <w:r>
        <w:rPr>
          <w:rFonts w:ascii="David" w:hAnsi="David"/>
          <w:rtl/>
        </w:rPr>
        <w:t>ס</w:t>
      </w:r>
      <w:r w:rsidR="00904521">
        <w:rPr>
          <w:rFonts w:ascii="David" w:hAnsi="David" w:hint="cs"/>
          <w:rtl/>
        </w:rPr>
        <w:t>.</w:t>
      </w:r>
      <w:r>
        <w:rPr>
          <w:rFonts w:ascii="David" w:hAnsi="David"/>
          <w:rtl/>
        </w:rPr>
        <w:t xml:space="preserve"> (להלן: "</w:t>
      </w:r>
      <w:r>
        <w:rPr>
          <w:rFonts w:ascii="David" w:hAnsi="David"/>
          <w:b/>
          <w:bCs/>
          <w:rtl/>
        </w:rPr>
        <w:t>המבקשים</w:t>
      </w:r>
      <w:r>
        <w:rPr>
          <w:rFonts w:ascii="David" w:hAnsi="David"/>
          <w:rtl/>
        </w:rPr>
        <w:t>") בקשה למינוי מנהל עיזבון – היא הבקשה שלפניי (להלן: "</w:t>
      </w:r>
      <w:r>
        <w:rPr>
          <w:rFonts w:ascii="David" w:hAnsi="David"/>
          <w:b/>
          <w:bCs/>
          <w:rtl/>
        </w:rPr>
        <w:t>הבקשה</w:t>
      </w:r>
      <w:r>
        <w:rPr>
          <w:rFonts w:ascii="David" w:hAnsi="David"/>
          <w:rtl/>
        </w:rPr>
        <w:t>").</w:t>
      </w:r>
    </w:p>
    <w:p w:rsidR="006A18F1" w:rsidRDefault="006A18F1" w:rsidP="006A18F1">
      <w:pPr>
        <w:pStyle w:val="aa"/>
        <w:rPr>
          <w:rFonts w:ascii="David" w:hAnsi="David"/>
        </w:rPr>
      </w:pPr>
    </w:p>
    <w:p w:rsidR="006A18F1" w:rsidRDefault="006A18F1" w:rsidP="006A18F1">
      <w:pPr>
        <w:spacing w:line="360" w:lineRule="auto"/>
        <w:jc w:val="both"/>
        <w:rPr>
          <w:rFonts w:ascii="David" w:hAnsi="David"/>
          <w:b/>
          <w:bCs/>
          <w:u w:val="single"/>
          <w:rtl/>
        </w:rPr>
      </w:pPr>
      <w:r>
        <w:rPr>
          <w:rFonts w:ascii="David" w:hAnsi="David"/>
          <w:b/>
          <w:bCs/>
          <w:u w:val="single"/>
          <w:rtl/>
        </w:rPr>
        <w:t>עיקר טענות המבקשים</w:t>
      </w:r>
    </w:p>
    <w:p w:rsidR="006A18F1" w:rsidRDefault="006A18F1" w:rsidP="006A18F1">
      <w:pPr>
        <w:spacing w:line="360" w:lineRule="auto"/>
        <w:jc w:val="both"/>
        <w:rPr>
          <w:rFonts w:ascii="David" w:hAnsi="David"/>
          <w:b/>
          <w:bCs/>
          <w:u w:val="single"/>
          <w:rtl/>
        </w:rPr>
      </w:pPr>
    </w:p>
    <w:p w:rsidR="006A18F1" w:rsidRDefault="006A18F1" w:rsidP="006A18F1">
      <w:pPr>
        <w:pStyle w:val="aa"/>
        <w:numPr>
          <w:ilvl w:val="0"/>
          <w:numId w:val="1"/>
        </w:numPr>
        <w:spacing w:line="360" w:lineRule="auto"/>
        <w:jc w:val="both"/>
        <w:rPr>
          <w:rFonts w:ascii="David" w:hAnsi="David"/>
        </w:rPr>
      </w:pPr>
      <w:r>
        <w:rPr>
          <w:rFonts w:ascii="David" w:hAnsi="David"/>
          <w:rtl/>
        </w:rPr>
        <w:t xml:space="preserve">בס' 8 לצוואה הורה המנוח כי </w:t>
      </w:r>
      <w:r w:rsidR="006777A8">
        <w:rPr>
          <w:rFonts w:ascii="David" w:hAnsi="David"/>
          <w:rtl/>
        </w:rPr>
        <w:t>נ.</w:t>
      </w:r>
      <w:r>
        <w:rPr>
          <w:rFonts w:ascii="David" w:hAnsi="David"/>
          <w:rtl/>
        </w:rPr>
        <w:t xml:space="preserve"> ימונה כמנהל עיזבון.</w:t>
      </w:r>
    </w:p>
    <w:p w:rsidR="006A18F1" w:rsidRDefault="006A18F1" w:rsidP="006A18F1">
      <w:pPr>
        <w:pStyle w:val="aa"/>
        <w:spacing w:line="360" w:lineRule="auto"/>
        <w:jc w:val="both"/>
        <w:rPr>
          <w:rFonts w:ascii="David" w:hAnsi="David"/>
        </w:rPr>
      </w:pPr>
    </w:p>
    <w:p w:rsidR="006A18F1" w:rsidRDefault="006A18F1" w:rsidP="006A18F1">
      <w:pPr>
        <w:pStyle w:val="aa"/>
        <w:numPr>
          <w:ilvl w:val="0"/>
          <w:numId w:val="1"/>
        </w:numPr>
        <w:spacing w:line="360" w:lineRule="auto"/>
        <w:jc w:val="both"/>
        <w:rPr>
          <w:rFonts w:ascii="David" w:hAnsi="David"/>
        </w:rPr>
      </w:pPr>
      <w:r>
        <w:rPr>
          <w:rFonts w:ascii="David" w:hAnsi="David"/>
          <w:rtl/>
        </w:rPr>
        <w:t xml:space="preserve">לנוכח הסכמת הצדדים, נחתם צו קיום צוואה. בשל שגגה של מגיש צו קיום הצוואה, לא צוין בו כי </w:t>
      </w:r>
      <w:r w:rsidR="006777A8">
        <w:rPr>
          <w:rFonts w:ascii="David" w:hAnsi="David"/>
          <w:rtl/>
        </w:rPr>
        <w:t>נ.</w:t>
      </w:r>
      <w:r>
        <w:rPr>
          <w:rFonts w:ascii="David" w:hAnsi="David"/>
          <w:rtl/>
        </w:rPr>
        <w:t xml:space="preserve"> הינו מנהל העיזבון.</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לאור הוראות ס' 37 לתקנות הירושה, התשנ"ח–1998 (להלן: "</w:t>
      </w:r>
      <w:r>
        <w:rPr>
          <w:rFonts w:ascii="David" w:hAnsi="David"/>
          <w:b/>
          <w:bCs/>
          <w:rtl/>
        </w:rPr>
        <w:t>תקנות הירושה</w:t>
      </w:r>
      <w:r>
        <w:rPr>
          <w:rFonts w:ascii="David" w:hAnsi="David"/>
          <w:rtl/>
        </w:rPr>
        <w:t>"), תוקף המינוי של מנהל העיזבון פקע בחלוף חצי שנה ממועד מינויו, זאת מפני שבצו המינוי לא צוינה תקופת המינוי ולא הוגשה על-ידי מנהל העיזבון כל בקשה בעניין זה במשך כ-3 שנים.</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Pr>
      </w:pPr>
      <w:r>
        <w:rPr>
          <w:rFonts w:ascii="David" w:hAnsi="David"/>
          <w:rtl/>
        </w:rPr>
        <w:t>למבקשים טענות רבות ביחס לתפקודו של מנהל העיזבון ונטען, בין היתר, כי מנהל העיזבון איננו ממלא את תפקדיו כדבעי</w:t>
      </w:r>
      <w:r w:rsidR="00AA52C6">
        <w:rPr>
          <w:rFonts w:ascii="David" w:hAnsi="David" w:hint="cs"/>
          <w:rtl/>
        </w:rPr>
        <w:t>,</w:t>
      </w:r>
      <w:r>
        <w:rPr>
          <w:rFonts w:ascii="David" w:hAnsi="David"/>
          <w:rtl/>
        </w:rPr>
        <w:t xml:space="preserve"> ומאז מינויו הקרע במשפחה רק גדל. </w:t>
      </w:r>
    </w:p>
    <w:p w:rsidR="00AA52C6" w:rsidRPr="00AA52C6" w:rsidRDefault="00AA52C6" w:rsidP="00AA52C6">
      <w:pPr>
        <w:pStyle w:val="aa"/>
        <w:rPr>
          <w:rFonts w:ascii="David" w:hAnsi="David"/>
          <w:rtl/>
        </w:rPr>
      </w:pPr>
    </w:p>
    <w:p w:rsidR="006A18F1" w:rsidRDefault="006A18F1" w:rsidP="006A18F1">
      <w:pPr>
        <w:pStyle w:val="aa"/>
        <w:numPr>
          <w:ilvl w:val="0"/>
          <w:numId w:val="1"/>
        </w:numPr>
        <w:spacing w:line="360" w:lineRule="auto"/>
        <w:jc w:val="both"/>
        <w:rPr>
          <w:rFonts w:ascii="David" w:hAnsi="David"/>
          <w:rtl/>
        </w:rPr>
      </w:pPr>
      <w:r>
        <w:rPr>
          <w:rFonts w:ascii="David" w:hAnsi="David"/>
          <w:rtl/>
        </w:rPr>
        <w:lastRenderedPageBreak/>
        <w:t xml:space="preserve">בידי המבקשים חשש כי מנהל העיזבון מצוי בניגוד עניינים וכי טובת הצדדים אינה עומדת אל מול עיניו. </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מנהל העיזבון לא פעל לשמירת העיזבון ופעל להוצאת כספי העיזבון שלא לצורך. מנהל העיזבון הגיש בקשות מיותרות ולא פעל לטובת העיזבון. המבקשים מתנגדים לכל תביעה, אותה מעוניין להגיש מנהל העיזבון ומבקשים לסיים את תפקידו לאלתר.</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תפקידו של מנהל העיזבון הזמני פקע עם מתן צו קיום צוואה.</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המנוח בצוואתו ביקש למנות את </w:t>
      </w:r>
      <w:r w:rsidR="006777A8">
        <w:rPr>
          <w:rFonts w:ascii="David" w:hAnsi="David"/>
          <w:rtl/>
        </w:rPr>
        <w:t>נ.</w:t>
      </w:r>
      <w:r>
        <w:rPr>
          <w:rFonts w:ascii="David" w:hAnsi="David"/>
          <w:rtl/>
        </w:rPr>
        <w:t xml:space="preserve"> כמנהל עיזבון ויש לכבד את רצונו. משניתן תוקף של פסק דין להסכמות הצדדים, רצון המנוח לא במחלוקת עוד.</w:t>
      </w:r>
    </w:p>
    <w:p w:rsidR="006A18F1" w:rsidRDefault="006A18F1" w:rsidP="006A18F1">
      <w:pPr>
        <w:pStyle w:val="aa"/>
        <w:rPr>
          <w:rFonts w:ascii="David" w:hAnsi="David"/>
        </w:rPr>
      </w:pPr>
    </w:p>
    <w:p w:rsidR="006A18F1" w:rsidRDefault="006A18F1" w:rsidP="006A18F1">
      <w:pPr>
        <w:spacing w:line="360" w:lineRule="auto"/>
        <w:jc w:val="both"/>
        <w:rPr>
          <w:rFonts w:ascii="David" w:hAnsi="David"/>
          <w:b/>
          <w:bCs/>
          <w:u w:val="single"/>
          <w:rtl/>
        </w:rPr>
      </w:pPr>
      <w:r>
        <w:rPr>
          <w:rFonts w:ascii="David" w:hAnsi="David"/>
          <w:b/>
          <w:bCs/>
          <w:u w:val="single"/>
          <w:rtl/>
        </w:rPr>
        <w:t xml:space="preserve">עיקר טענותיו של </w:t>
      </w:r>
      <w:r w:rsidR="00AE156D">
        <w:rPr>
          <w:rFonts w:ascii="David" w:hAnsi="David"/>
          <w:b/>
          <w:bCs/>
          <w:u w:val="single"/>
          <w:rtl/>
        </w:rPr>
        <w:t>א.ש.</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יש לדחות את הבקשה על הסף ולחלופין לגופה.</w:t>
      </w:r>
    </w:p>
    <w:p w:rsidR="006A18F1" w:rsidRDefault="006A18F1" w:rsidP="006A18F1">
      <w:pPr>
        <w:pStyle w:val="aa"/>
        <w:spacing w:line="360" w:lineRule="auto"/>
        <w:jc w:val="both"/>
        <w:rPr>
          <w:rFonts w:ascii="David" w:hAnsi="David"/>
        </w:rPr>
      </w:pPr>
    </w:p>
    <w:p w:rsidR="006A18F1" w:rsidRDefault="006A18F1" w:rsidP="006A18F1">
      <w:pPr>
        <w:pStyle w:val="aa"/>
        <w:numPr>
          <w:ilvl w:val="0"/>
          <w:numId w:val="1"/>
        </w:numPr>
        <w:spacing w:line="360" w:lineRule="auto"/>
        <w:jc w:val="both"/>
        <w:rPr>
          <w:rFonts w:ascii="David" w:hAnsi="David"/>
        </w:rPr>
      </w:pPr>
      <w:r>
        <w:rPr>
          <w:rFonts w:ascii="David" w:hAnsi="David"/>
          <w:rtl/>
        </w:rPr>
        <w:t xml:space="preserve">קיים מנהל עיזבון שפעילותו בעיצומה ואשר מנהל הליכים משפטיים, בין היתר נגד </w:t>
      </w:r>
      <w:r w:rsidR="006777A8">
        <w:rPr>
          <w:rFonts w:ascii="David" w:hAnsi="David"/>
          <w:rtl/>
        </w:rPr>
        <w:t>נ.</w:t>
      </w:r>
      <w:r>
        <w:rPr>
          <w:rFonts w:ascii="David" w:hAnsi="David"/>
          <w:rtl/>
        </w:rPr>
        <w:t>, באישור בית המשפט.</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ביום 17.10.21 הגיש </w:t>
      </w:r>
      <w:r w:rsidR="00AE156D">
        <w:rPr>
          <w:rFonts w:ascii="David" w:hAnsi="David"/>
          <w:rtl/>
        </w:rPr>
        <w:t>י.</w:t>
      </w:r>
      <w:r>
        <w:rPr>
          <w:rFonts w:ascii="David" w:hAnsi="David"/>
          <w:rtl/>
        </w:rPr>
        <w:t xml:space="preserve"> תגובה לדו"ח הראשוני שהגיש מנהל העיזבון והעלה כנגד </w:t>
      </w:r>
      <w:r w:rsidR="006777A8">
        <w:rPr>
          <w:rFonts w:ascii="David" w:hAnsi="David"/>
          <w:rtl/>
        </w:rPr>
        <w:t>נ.</w:t>
      </w:r>
      <w:r>
        <w:rPr>
          <w:rFonts w:ascii="David" w:hAnsi="David"/>
          <w:rtl/>
        </w:rPr>
        <w:t xml:space="preserve"> טענות. גם </w:t>
      </w:r>
      <w:r w:rsidR="00AE156D">
        <w:rPr>
          <w:rFonts w:ascii="David" w:hAnsi="David"/>
          <w:rtl/>
        </w:rPr>
        <w:t>א.ש.</w:t>
      </w:r>
      <w:r>
        <w:rPr>
          <w:rFonts w:ascii="David" w:hAnsi="David"/>
          <w:rtl/>
        </w:rPr>
        <w:t xml:space="preserve"> מלכתחילה סבר כי יש להגיש תביעה כנגד </w:t>
      </w:r>
      <w:r w:rsidR="006777A8">
        <w:rPr>
          <w:rFonts w:ascii="David" w:hAnsi="David"/>
          <w:rtl/>
        </w:rPr>
        <w:t>נ.</w:t>
      </w:r>
      <w:r>
        <w:rPr>
          <w:rFonts w:ascii="David" w:hAnsi="David"/>
          <w:rtl/>
        </w:rPr>
        <w:t xml:space="preserve"> ו</w:t>
      </w:r>
      <w:r w:rsidR="0075486F">
        <w:rPr>
          <w:rFonts w:ascii="David" w:hAnsi="David" w:hint="cs"/>
          <w:rtl/>
        </w:rPr>
        <w:t>-</w:t>
      </w:r>
      <w:r w:rsidR="00AE156D">
        <w:rPr>
          <w:rFonts w:ascii="David" w:hAnsi="David"/>
          <w:rtl/>
        </w:rPr>
        <w:t>י.</w:t>
      </w:r>
      <w:r>
        <w:rPr>
          <w:rFonts w:ascii="David" w:hAnsi="David"/>
          <w:rtl/>
        </w:rPr>
        <w:t>, כל אחד בגין מעלליו הוא.</w:t>
      </w:r>
    </w:p>
    <w:p w:rsidR="006A18F1" w:rsidRDefault="006A18F1" w:rsidP="006A18F1">
      <w:pPr>
        <w:pStyle w:val="aa"/>
        <w:rPr>
          <w:rFonts w:ascii="David" w:hAnsi="David"/>
        </w:rPr>
      </w:pPr>
    </w:p>
    <w:p w:rsidR="006A18F1" w:rsidRDefault="006A18F1" w:rsidP="006777A8">
      <w:pPr>
        <w:pStyle w:val="aa"/>
        <w:numPr>
          <w:ilvl w:val="0"/>
          <w:numId w:val="1"/>
        </w:numPr>
        <w:spacing w:line="360" w:lineRule="auto"/>
        <w:jc w:val="both"/>
        <w:rPr>
          <w:rFonts w:ascii="David" w:hAnsi="David"/>
          <w:rtl/>
        </w:rPr>
      </w:pPr>
      <w:r>
        <w:rPr>
          <w:rFonts w:ascii="David" w:hAnsi="David"/>
          <w:rtl/>
        </w:rPr>
        <w:t>נ</w:t>
      </w:r>
      <w:r w:rsidR="006777A8">
        <w:rPr>
          <w:rFonts w:ascii="David" w:hAnsi="David" w:hint="cs"/>
          <w:rtl/>
        </w:rPr>
        <w:t xml:space="preserve">. </w:t>
      </w:r>
      <w:r>
        <w:rPr>
          <w:rFonts w:ascii="David" w:hAnsi="David"/>
          <w:rtl/>
        </w:rPr>
        <w:t>הוא מי ש"קיים ספק לגבי יושרו" ואשר נמצא בניגוד עניינים ודי בכך כדי להוות "טעמים מיוחדים" לסילוק בקשתו למנותו כמנהל עיזבון.</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מינוי מנהל העיזבון לא הופסק על-ידי בית המשפט.</w:t>
      </w:r>
    </w:p>
    <w:p w:rsidR="006A18F1" w:rsidRDefault="006A18F1" w:rsidP="006A18F1">
      <w:pPr>
        <w:pStyle w:val="aa"/>
        <w:rPr>
          <w:rFonts w:ascii="David" w:hAnsi="David"/>
        </w:rPr>
      </w:pPr>
    </w:p>
    <w:p w:rsidR="006A18F1" w:rsidRDefault="006777A8" w:rsidP="006A18F1">
      <w:pPr>
        <w:pStyle w:val="aa"/>
        <w:numPr>
          <w:ilvl w:val="0"/>
          <w:numId w:val="1"/>
        </w:numPr>
        <w:spacing w:line="360" w:lineRule="auto"/>
        <w:jc w:val="both"/>
        <w:rPr>
          <w:rFonts w:ascii="David" w:hAnsi="David"/>
          <w:rtl/>
        </w:rPr>
      </w:pPr>
      <w:r>
        <w:rPr>
          <w:rFonts w:ascii="David" w:hAnsi="David"/>
          <w:rtl/>
        </w:rPr>
        <w:t>נ.</w:t>
      </w:r>
      <w:r w:rsidR="006A18F1">
        <w:rPr>
          <w:rFonts w:ascii="David" w:hAnsi="David"/>
          <w:rtl/>
        </w:rPr>
        <w:t xml:space="preserve"> הוא צד לבקשה לקיום צוואת המנוחה שבעניינה הוגשה התנגדות ובחוות דעת נקבע כי המנוחה לא הייתה כשירה לערוך צוואה. המנוחה נפטרה לפני המנוח ועניין צוואתה טרם הוכרע.</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הסכמת הצדדים ניתנה על יסוד הידיעה כי ההליך בעניין צוואת המנוחה טרם הוכרע.</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אין חובה כי ימונה מנהל עיזבון אשר צוין בצוואה והסמכות בעניין נושא זה מסורה לעולם לבית המשפט.</w:t>
      </w:r>
    </w:p>
    <w:p w:rsidR="006A18F1" w:rsidRDefault="006A18F1" w:rsidP="006A18F1">
      <w:pPr>
        <w:pStyle w:val="aa"/>
        <w:spacing w:line="360" w:lineRule="auto"/>
        <w:jc w:val="both"/>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מנהל העיזבון מונה בשל היותו מנהל עיזבון ניטרלי.</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כבר בשנת 2021 הובא לידיעת בית המשפט כי קיים חשש לניגוד עניינים במינויו של </w:t>
      </w:r>
      <w:r w:rsidR="006777A8">
        <w:rPr>
          <w:rFonts w:ascii="David" w:hAnsi="David"/>
          <w:rtl/>
        </w:rPr>
        <w:t>נ.</w:t>
      </w:r>
      <w:r>
        <w:rPr>
          <w:rFonts w:ascii="David" w:hAnsi="David"/>
          <w:rtl/>
        </w:rPr>
        <w:t xml:space="preserve"> למנהל עיזבון וכי קיים חוסר אמון בסיסי בין היורשים, אשר יביא להתדיינויות מיותרות וכי ראוי שימונה מנהל עיזבון ניטרלי, תוך מתן עדיפות לעורך דין, בשל מיומנותו.</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בית המשפט דחה בעבר בקשה שהגיש </w:t>
      </w:r>
      <w:r w:rsidR="006777A8">
        <w:rPr>
          <w:rFonts w:ascii="David" w:hAnsi="David"/>
          <w:rtl/>
        </w:rPr>
        <w:t>נ.</w:t>
      </w:r>
      <w:r>
        <w:rPr>
          <w:rFonts w:ascii="David" w:hAnsi="David"/>
          <w:rtl/>
        </w:rPr>
        <w:t xml:space="preserve"> להתמנות </w:t>
      </w:r>
      <w:r w:rsidR="003832A9">
        <w:rPr>
          <w:rFonts w:ascii="David" w:hAnsi="David" w:hint="cs"/>
          <w:rtl/>
        </w:rPr>
        <w:t>כ</w:t>
      </w:r>
      <w:r>
        <w:rPr>
          <w:rFonts w:ascii="David" w:hAnsi="David"/>
          <w:rtl/>
        </w:rPr>
        <w:t xml:space="preserve">מנהל עיזבון וגם כיום </w:t>
      </w:r>
      <w:r w:rsidR="006777A8">
        <w:rPr>
          <w:rFonts w:ascii="David" w:hAnsi="David"/>
          <w:rtl/>
        </w:rPr>
        <w:t>נ.</w:t>
      </w:r>
      <w:r>
        <w:rPr>
          <w:rFonts w:ascii="David" w:hAnsi="David"/>
          <w:rtl/>
        </w:rPr>
        <w:t xml:space="preserve"> מצוי בניגוד עניינים.</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שמו של </w:t>
      </w:r>
      <w:r w:rsidR="006777A8">
        <w:rPr>
          <w:rFonts w:ascii="David" w:hAnsi="David"/>
          <w:rtl/>
        </w:rPr>
        <w:t>נ.</w:t>
      </w:r>
      <w:r>
        <w:rPr>
          <w:rFonts w:ascii="David" w:hAnsi="David"/>
          <w:rtl/>
        </w:rPr>
        <w:t xml:space="preserve"> לא צוין בצו קיום </w:t>
      </w:r>
      <w:r w:rsidR="003832A9">
        <w:rPr>
          <w:rFonts w:ascii="David" w:hAnsi="David" w:hint="cs"/>
          <w:rtl/>
        </w:rPr>
        <w:t>ה</w:t>
      </w:r>
      <w:r>
        <w:rPr>
          <w:rFonts w:ascii="David" w:hAnsi="David"/>
          <w:rtl/>
        </w:rPr>
        <w:t>צוואה לא בשגגה, אלא בשל הסכמת הצדדים שאין להוסיף עליה.</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מינוי מנהל העיזבון בתוקף, כל עוד לא הופסק על-ידי בית המשפט. מנהל העיזבון לא הודיע על סיום תפקידו ובית המשפט לא קבע כי מינויו פקע.</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מנהל העיזבון פועל בנאמנות וממלא את תפקידו כראוי. כל פעולה שביצע מנהל העיזבון, נעשתה על-פי הוראת בית המשפט.</w:t>
      </w:r>
    </w:p>
    <w:p w:rsidR="006A18F1" w:rsidRDefault="006A18F1" w:rsidP="006A18F1">
      <w:pPr>
        <w:pStyle w:val="aa"/>
        <w:rPr>
          <w:rFonts w:ascii="David" w:hAnsi="David"/>
        </w:rPr>
      </w:pPr>
    </w:p>
    <w:p w:rsidR="006A18F1" w:rsidRDefault="006777A8" w:rsidP="006A18F1">
      <w:pPr>
        <w:pStyle w:val="aa"/>
        <w:numPr>
          <w:ilvl w:val="0"/>
          <w:numId w:val="1"/>
        </w:numPr>
        <w:spacing w:line="360" w:lineRule="auto"/>
        <w:jc w:val="both"/>
        <w:rPr>
          <w:rFonts w:ascii="David" w:hAnsi="David"/>
          <w:rtl/>
        </w:rPr>
      </w:pPr>
      <w:r>
        <w:rPr>
          <w:rFonts w:ascii="David" w:hAnsi="David"/>
          <w:rtl/>
        </w:rPr>
        <w:t>נ.</w:t>
      </w:r>
      <w:r w:rsidR="006A18F1">
        <w:rPr>
          <w:rFonts w:ascii="David" w:hAnsi="David"/>
          <w:rtl/>
        </w:rPr>
        <w:t xml:space="preserve"> מעל באמון המנוחים, גרע את עיזבונם ודי בדך כדי לא למנותו. באמצעות הבקשה, </w:t>
      </w:r>
      <w:r>
        <w:rPr>
          <w:rFonts w:ascii="David" w:hAnsi="David"/>
          <w:rtl/>
        </w:rPr>
        <w:t>נ.</w:t>
      </w:r>
      <w:r w:rsidR="006A18F1">
        <w:rPr>
          <w:rFonts w:ascii="David" w:hAnsi="David"/>
          <w:rtl/>
        </w:rPr>
        <w:t xml:space="preserve"> מבקש "להסיר מעליו את חרב התביעה".</w:t>
      </w:r>
    </w:p>
    <w:p w:rsidR="006A18F1" w:rsidRDefault="006A18F1" w:rsidP="006A18F1">
      <w:pPr>
        <w:pStyle w:val="aa"/>
        <w:rPr>
          <w:rFonts w:ascii="David" w:hAnsi="David"/>
        </w:rPr>
      </w:pPr>
    </w:p>
    <w:p w:rsidR="006A18F1" w:rsidRDefault="006A18F1" w:rsidP="006777A8">
      <w:pPr>
        <w:spacing w:line="360" w:lineRule="auto"/>
        <w:jc w:val="both"/>
        <w:rPr>
          <w:rFonts w:ascii="David" w:hAnsi="David"/>
          <w:b/>
          <w:bCs/>
          <w:u w:val="single"/>
          <w:rtl/>
        </w:rPr>
      </w:pPr>
      <w:r>
        <w:rPr>
          <w:rFonts w:ascii="David" w:hAnsi="David"/>
          <w:b/>
          <w:bCs/>
          <w:u w:val="single"/>
          <w:rtl/>
        </w:rPr>
        <w:t>עיקר הטענות של ר</w:t>
      </w:r>
      <w:r w:rsidR="006777A8">
        <w:rPr>
          <w:rFonts w:ascii="David" w:hAnsi="David" w:hint="cs"/>
          <w:b/>
          <w:bCs/>
          <w:u w:val="single"/>
          <w:rtl/>
        </w:rPr>
        <w:t>.</w:t>
      </w:r>
      <w:r>
        <w:rPr>
          <w:rFonts w:ascii="David" w:hAnsi="David"/>
          <w:b/>
          <w:bCs/>
          <w:u w:val="single"/>
          <w:rtl/>
        </w:rPr>
        <w:t xml:space="preserve"> וח</w:t>
      </w:r>
      <w:r w:rsidR="006777A8">
        <w:rPr>
          <w:rFonts w:ascii="David" w:hAnsi="David" w:hint="cs"/>
          <w:b/>
          <w:bCs/>
          <w:u w:val="single"/>
          <w:rtl/>
        </w:rPr>
        <w:t>.</w:t>
      </w:r>
    </w:p>
    <w:p w:rsidR="006A18F1" w:rsidRDefault="006A18F1" w:rsidP="006A18F1">
      <w:pPr>
        <w:pStyle w:val="aa"/>
        <w:rPr>
          <w:rFonts w:ascii="David" w:hAnsi="David"/>
        </w:rPr>
      </w:pPr>
    </w:p>
    <w:p w:rsidR="006A18F1" w:rsidRDefault="006A18F1" w:rsidP="006777A8">
      <w:pPr>
        <w:pStyle w:val="aa"/>
        <w:numPr>
          <w:ilvl w:val="0"/>
          <w:numId w:val="1"/>
        </w:numPr>
        <w:spacing w:line="360" w:lineRule="auto"/>
        <w:jc w:val="both"/>
        <w:rPr>
          <w:rFonts w:ascii="David" w:hAnsi="David"/>
          <w:rtl/>
        </w:rPr>
      </w:pPr>
      <w:r>
        <w:rPr>
          <w:rFonts w:ascii="David" w:hAnsi="David"/>
          <w:rtl/>
        </w:rPr>
        <w:t xml:space="preserve">עמדת </w:t>
      </w:r>
      <w:r w:rsidR="00AE156D">
        <w:rPr>
          <w:rFonts w:ascii="David" w:hAnsi="David"/>
          <w:rtl/>
        </w:rPr>
        <w:t>א.ש.</w:t>
      </w:r>
      <w:r>
        <w:rPr>
          <w:rFonts w:ascii="David" w:hAnsi="David"/>
          <w:rtl/>
        </w:rPr>
        <w:t xml:space="preserve"> מבטאת את עמדת ר</w:t>
      </w:r>
      <w:r w:rsidR="006777A8">
        <w:rPr>
          <w:rFonts w:ascii="David" w:hAnsi="David" w:hint="cs"/>
          <w:rtl/>
        </w:rPr>
        <w:t>.</w:t>
      </w:r>
      <w:r>
        <w:rPr>
          <w:rFonts w:ascii="David" w:hAnsi="David"/>
          <w:rtl/>
        </w:rPr>
        <w:t xml:space="preserve"> וח</w:t>
      </w:r>
      <w:r w:rsidR="006777A8">
        <w:rPr>
          <w:rFonts w:ascii="David" w:hAnsi="David" w:hint="cs"/>
          <w:rtl/>
        </w:rPr>
        <w:t>.</w:t>
      </w:r>
      <w:r>
        <w:rPr>
          <w:rFonts w:ascii="David" w:hAnsi="David"/>
          <w:rtl/>
        </w:rPr>
        <w:t xml:space="preserve"> והן מצטרפות לעמדה זו. </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אין למנות את </w:t>
      </w:r>
      <w:r w:rsidR="006777A8">
        <w:rPr>
          <w:rFonts w:ascii="David" w:hAnsi="David"/>
          <w:rtl/>
        </w:rPr>
        <w:t>נ.</w:t>
      </w:r>
      <w:r>
        <w:rPr>
          <w:rFonts w:ascii="David" w:hAnsi="David"/>
          <w:rtl/>
        </w:rPr>
        <w:t xml:space="preserve"> כמנהל עיזבון ויש למנות את מנהל העיזבון הזמני למנהל עיזבון קבוע.</w:t>
      </w:r>
    </w:p>
    <w:p w:rsidR="006A18F1" w:rsidRDefault="006A18F1" w:rsidP="006A18F1">
      <w:pPr>
        <w:pStyle w:val="aa"/>
        <w:rPr>
          <w:rFonts w:ascii="David" w:hAnsi="David"/>
        </w:rPr>
      </w:pPr>
    </w:p>
    <w:p w:rsidR="006A18F1" w:rsidRDefault="006A18F1" w:rsidP="00AE156D">
      <w:pPr>
        <w:spacing w:line="360" w:lineRule="auto"/>
        <w:jc w:val="both"/>
        <w:rPr>
          <w:rFonts w:ascii="David" w:hAnsi="David"/>
          <w:b/>
          <w:bCs/>
          <w:u w:val="single"/>
          <w:rtl/>
        </w:rPr>
      </w:pPr>
      <w:r>
        <w:rPr>
          <w:rFonts w:ascii="David" w:hAnsi="David"/>
          <w:b/>
          <w:bCs/>
          <w:u w:val="single"/>
          <w:rtl/>
        </w:rPr>
        <w:t>אי-הגשת תגובה מטעם י</w:t>
      </w:r>
      <w:r w:rsidR="00AE156D">
        <w:rPr>
          <w:rFonts w:ascii="David" w:hAnsi="David" w:hint="cs"/>
          <w:b/>
          <w:bCs/>
          <w:u w:val="single"/>
          <w:rtl/>
        </w:rPr>
        <w:t>.</w:t>
      </w:r>
    </w:p>
    <w:p w:rsidR="006A18F1" w:rsidRDefault="006A18F1" w:rsidP="006A18F1">
      <w:pPr>
        <w:pStyle w:val="aa"/>
        <w:rPr>
          <w:rFonts w:ascii="David" w:hAnsi="David"/>
        </w:rPr>
      </w:pPr>
    </w:p>
    <w:p w:rsidR="006A18F1" w:rsidRDefault="006A18F1" w:rsidP="00AE156D">
      <w:pPr>
        <w:pStyle w:val="aa"/>
        <w:numPr>
          <w:ilvl w:val="0"/>
          <w:numId w:val="1"/>
        </w:numPr>
        <w:spacing w:line="360" w:lineRule="auto"/>
        <w:jc w:val="both"/>
        <w:rPr>
          <w:rFonts w:ascii="David" w:hAnsi="David"/>
          <w:rtl/>
        </w:rPr>
      </w:pPr>
      <w:r>
        <w:rPr>
          <w:rFonts w:ascii="David" w:hAnsi="David"/>
          <w:rtl/>
        </w:rPr>
        <w:t>י</w:t>
      </w:r>
      <w:r w:rsidR="00AE156D">
        <w:rPr>
          <w:rFonts w:ascii="David" w:hAnsi="David" w:hint="cs"/>
          <w:rtl/>
        </w:rPr>
        <w:t>.</w:t>
      </w:r>
      <w:r>
        <w:rPr>
          <w:rFonts w:ascii="David" w:hAnsi="David"/>
          <w:rtl/>
        </w:rPr>
        <w:t xml:space="preserve"> לא הגיש תגובה לבקשה על-אף שהוכח לפניי כי ביום 2.5.24 בוצעה לידי ב"כ, שייצג אותו בתקופה הרלוונטית, מסירה כדין. </w:t>
      </w:r>
    </w:p>
    <w:p w:rsidR="006A18F1" w:rsidRDefault="006A18F1" w:rsidP="006A18F1">
      <w:pPr>
        <w:pStyle w:val="aa"/>
        <w:spacing w:line="360" w:lineRule="auto"/>
        <w:jc w:val="both"/>
        <w:rPr>
          <w:rFonts w:ascii="David" w:hAnsi="David"/>
        </w:rPr>
      </w:pPr>
    </w:p>
    <w:p w:rsidR="006A18F1" w:rsidRDefault="006A18F1" w:rsidP="00AE156D">
      <w:pPr>
        <w:pStyle w:val="aa"/>
        <w:numPr>
          <w:ilvl w:val="0"/>
          <w:numId w:val="1"/>
        </w:numPr>
        <w:spacing w:line="360" w:lineRule="auto"/>
        <w:jc w:val="both"/>
        <w:rPr>
          <w:rFonts w:ascii="David" w:hAnsi="David"/>
        </w:rPr>
      </w:pPr>
      <w:r>
        <w:rPr>
          <w:rFonts w:ascii="David" w:hAnsi="David"/>
          <w:rtl/>
        </w:rPr>
        <w:t>את טענת המבקשים במסגרת הבקשה למתן החלטה אשר לפיה יש ללמוד על עמדתו של י</w:t>
      </w:r>
      <w:r w:rsidR="00AE156D">
        <w:rPr>
          <w:rFonts w:ascii="David" w:hAnsi="David" w:hint="cs"/>
          <w:rtl/>
        </w:rPr>
        <w:t>.</w:t>
      </w:r>
      <w:r>
        <w:rPr>
          <w:rFonts w:ascii="David" w:hAnsi="David"/>
          <w:rtl/>
        </w:rPr>
        <w:t xml:space="preserve"> מתגובה שהוגשה להליך אחר, לא ניתן לקבל. על בעל דין להגיש תגובה לבקשה ספציפית. בעל דין שלא הגיש תגובה לבקשה ספציפית, נוטל סיכון כי "שתיקתו" תתפרש כהסכמה לבקשה או לכל הפחות כאי-התנגדות לה.</w:t>
      </w:r>
    </w:p>
    <w:p w:rsidR="006A18F1" w:rsidRDefault="006A18F1" w:rsidP="006A18F1">
      <w:pPr>
        <w:spacing w:line="360" w:lineRule="auto"/>
        <w:jc w:val="both"/>
        <w:rPr>
          <w:rFonts w:ascii="David" w:hAnsi="David"/>
          <w:b/>
          <w:bCs/>
          <w:u w:val="single"/>
          <w:rtl/>
        </w:rPr>
      </w:pPr>
    </w:p>
    <w:p w:rsidR="006A18F1" w:rsidRDefault="006A18F1" w:rsidP="006A18F1">
      <w:pPr>
        <w:spacing w:line="360" w:lineRule="auto"/>
        <w:jc w:val="both"/>
        <w:rPr>
          <w:rFonts w:ascii="David" w:hAnsi="David"/>
          <w:b/>
          <w:bCs/>
          <w:u w:val="single"/>
          <w:rtl/>
        </w:rPr>
      </w:pPr>
      <w:r>
        <w:rPr>
          <w:rFonts w:ascii="David" w:hAnsi="David"/>
          <w:b/>
          <w:bCs/>
          <w:u w:val="single"/>
          <w:rtl/>
        </w:rPr>
        <w:t>עיקר טענות מנהל העיזבון</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אין מקום להיעתר לבקשה. כנגד </w:t>
      </w:r>
      <w:r w:rsidR="006777A8">
        <w:rPr>
          <w:rFonts w:ascii="David" w:hAnsi="David"/>
          <w:rtl/>
        </w:rPr>
        <w:t>נ.</w:t>
      </w:r>
      <w:r>
        <w:rPr>
          <w:rFonts w:ascii="David" w:hAnsi="David"/>
          <w:rtl/>
        </w:rPr>
        <w:t xml:space="preserve"> קיים הליך תלוי ועומד שהוגש בהתאם להחלטת בית המשפט ונכון שמנהל העיזבון ימשיך בתפקידו.</w:t>
      </w:r>
    </w:p>
    <w:p w:rsidR="006A18F1" w:rsidRDefault="006A18F1" w:rsidP="006A18F1">
      <w:pPr>
        <w:pStyle w:val="aa"/>
        <w:spacing w:line="360" w:lineRule="auto"/>
        <w:jc w:val="both"/>
        <w:rPr>
          <w:rFonts w:ascii="David" w:hAnsi="David"/>
        </w:rPr>
      </w:pPr>
    </w:p>
    <w:p w:rsidR="006A18F1" w:rsidRDefault="006A18F1" w:rsidP="006A18F1">
      <w:pPr>
        <w:pStyle w:val="aa"/>
        <w:numPr>
          <w:ilvl w:val="0"/>
          <w:numId w:val="1"/>
        </w:numPr>
        <w:spacing w:line="360" w:lineRule="auto"/>
        <w:jc w:val="both"/>
        <w:rPr>
          <w:rFonts w:ascii="David" w:hAnsi="David"/>
        </w:rPr>
      </w:pPr>
      <w:r>
        <w:rPr>
          <w:rFonts w:ascii="David" w:hAnsi="David"/>
          <w:rtl/>
        </w:rPr>
        <w:t>נראה כי מטרת הבקשה הינה לסכל את בירור האמת בדבר היקף העיזבון כפי שהורה בית המשפט.</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המבקשים מנסים ליצור תמונה שונה מהמציאות וליצור רושם כי מנהל העיזבון לא ממלא את תפקידו כראוי, דבר שאינו נכון למעט פרק זמן מסוים של מספר שבועות, במהלכן מנהל העיזבון לא היה זמין בשל היותו בשירות מילואים פעיל.</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החל מיום המינוי פעל מנהל העיזבון לקידום העיזבון ושמירתו, חרף הקשיים וההתנגדויות הרבות ומשיכת זמן מצד הצדדים. מנהל העיזבון הגיש עשרות תגובות ובקשות ונעשו על ידו פעולות מורכבות רבות.</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מנהל העיזבון פועל בניטרליות, בשקיפות ובנאמנות והוא לא מצוי בניגוד עניינים.</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כל פעולה שעשה מנהל העיזבון, נעשתה באישור בית המשפט, לאחר קבלת עמדות הצדדים.</w:t>
      </w:r>
    </w:p>
    <w:p w:rsidR="006A18F1" w:rsidRDefault="006A18F1" w:rsidP="006A18F1">
      <w:pPr>
        <w:pStyle w:val="aa"/>
        <w:rPr>
          <w:rFonts w:ascii="David" w:hAnsi="David"/>
        </w:rPr>
      </w:pPr>
    </w:p>
    <w:p w:rsidR="006A18F1" w:rsidRDefault="006A18F1" w:rsidP="00AE156D">
      <w:pPr>
        <w:pStyle w:val="aa"/>
        <w:numPr>
          <w:ilvl w:val="0"/>
          <w:numId w:val="1"/>
        </w:numPr>
        <w:spacing w:line="360" w:lineRule="auto"/>
        <w:jc w:val="both"/>
        <w:rPr>
          <w:rFonts w:ascii="David" w:hAnsi="David"/>
          <w:rtl/>
        </w:rPr>
      </w:pPr>
      <w:r>
        <w:rPr>
          <w:rFonts w:ascii="David" w:hAnsi="David"/>
          <w:rtl/>
        </w:rPr>
        <w:t>חוב הארנונה לא שולם מאחר שנ</w:t>
      </w:r>
      <w:r w:rsidR="006777A8">
        <w:rPr>
          <w:rFonts w:ascii="David" w:hAnsi="David" w:hint="cs"/>
          <w:rtl/>
        </w:rPr>
        <w:t>.</w:t>
      </w:r>
      <w:r>
        <w:rPr>
          <w:rFonts w:ascii="David" w:hAnsi="David"/>
          <w:rtl/>
        </w:rPr>
        <w:t xml:space="preserve">, אשר מחזיק בסך של 80,000 ₪, התחייב להקטין את חוב הארנונה ולהסדיר תשלום עבור חוב זה. בפועל, </w:t>
      </w:r>
      <w:r w:rsidR="006777A8">
        <w:rPr>
          <w:rFonts w:ascii="David" w:hAnsi="David"/>
          <w:rtl/>
        </w:rPr>
        <w:t>נ.</w:t>
      </w:r>
      <w:r>
        <w:rPr>
          <w:rFonts w:ascii="David" w:hAnsi="David"/>
          <w:rtl/>
        </w:rPr>
        <w:t xml:space="preserve"> לא שילם חוב זה, כפי שהתחייב ולא בכדי, עיריית </w:t>
      </w:r>
      <w:r w:rsidR="00AE156D">
        <w:rPr>
          <w:rFonts w:ascii="David" w:hAnsi="David" w:hint="cs"/>
          <w:rtl/>
        </w:rPr>
        <w:t>***</w:t>
      </w:r>
      <w:r>
        <w:rPr>
          <w:rFonts w:ascii="David" w:hAnsi="David"/>
          <w:rtl/>
        </w:rPr>
        <w:t xml:space="preserve"> הגישה בקשה לעיון בתיק.</w:t>
      </w:r>
    </w:p>
    <w:p w:rsidR="006A18F1" w:rsidRDefault="006A18F1" w:rsidP="006A18F1">
      <w:pPr>
        <w:pStyle w:val="aa"/>
        <w:rPr>
          <w:rFonts w:ascii="David" w:hAnsi="David"/>
        </w:rPr>
      </w:pPr>
    </w:p>
    <w:p w:rsidR="006A18F1" w:rsidRDefault="006A18F1" w:rsidP="00B21AE6">
      <w:pPr>
        <w:pStyle w:val="aa"/>
        <w:numPr>
          <w:ilvl w:val="0"/>
          <w:numId w:val="1"/>
        </w:numPr>
        <w:spacing w:line="360" w:lineRule="auto"/>
        <w:jc w:val="both"/>
        <w:rPr>
          <w:rFonts w:ascii="David" w:hAnsi="David"/>
          <w:rtl/>
        </w:rPr>
      </w:pPr>
      <w:r>
        <w:rPr>
          <w:rFonts w:ascii="David" w:hAnsi="David"/>
          <w:rtl/>
        </w:rPr>
        <w:t>נושא דמי השכירות הוסדר בהתמחרות בהסכמה ובמסגרת ס' 17 ב' להסכם השכירות, נקבע מנגנון להבטחת תשלום דמי השכירות אשר יקוזז מחלקו של א</w:t>
      </w:r>
      <w:r w:rsidR="00B21AE6">
        <w:rPr>
          <w:rFonts w:ascii="David" w:hAnsi="David" w:hint="cs"/>
          <w:rtl/>
        </w:rPr>
        <w:t>.</w:t>
      </w:r>
      <w:r>
        <w:rPr>
          <w:rFonts w:ascii="David" w:hAnsi="David"/>
          <w:rtl/>
        </w:rPr>
        <w:t xml:space="preserve"> בעיזבון, במקרה בו יפר את התחייבותו על-פי הסכם השכירות.</w:t>
      </w:r>
    </w:p>
    <w:p w:rsidR="006A18F1" w:rsidRDefault="006A18F1" w:rsidP="006A18F1">
      <w:pPr>
        <w:pStyle w:val="aa"/>
        <w:rPr>
          <w:rFonts w:ascii="David" w:hAnsi="David"/>
        </w:rPr>
      </w:pPr>
    </w:p>
    <w:p w:rsidR="006A18F1" w:rsidRDefault="00362CFF" w:rsidP="0096275A">
      <w:pPr>
        <w:pStyle w:val="aa"/>
        <w:numPr>
          <w:ilvl w:val="0"/>
          <w:numId w:val="1"/>
        </w:numPr>
        <w:spacing w:line="360" w:lineRule="auto"/>
        <w:jc w:val="both"/>
        <w:rPr>
          <w:rFonts w:ascii="David" w:hAnsi="David"/>
          <w:rtl/>
        </w:rPr>
      </w:pPr>
      <w:r>
        <w:rPr>
          <w:rFonts w:ascii="David" w:hAnsi="David" w:hint="cs"/>
          <w:rtl/>
        </w:rPr>
        <w:t>את ה</w:t>
      </w:r>
      <w:r w:rsidR="0096275A">
        <w:rPr>
          <w:rFonts w:ascii="David" w:hAnsi="David"/>
          <w:rtl/>
        </w:rPr>
        <w:t xml:space="preserve">כספים בבנק </w:t>
      </w:r>
      <w:r w:rsidR="0096275A">
        <w:rPr>
          <w:rFonts w:ascii="David" w:hAnsi="David" w:hint="cs"/>
          <w:rtl/>
        </w:rPr>
        <w:t>***</w:t>
      </w:r>
      <w:r w:rsidR="006A18F1">
        <w:rPr>
          <w:rFonts w:ascii="David" w:hAnsi="David"/>
          <w:rtl/>
        </w:rPr>
        <w:t xml:space="preserve"> לא ניתן להשקיע לאור התנגדותו של </w:t>
      </w:r>
      <w:r w:rsidR="006777A8">
        <w:rPr>
          <w:rFonts w:ascii="David" w:hAnsi="David"/>
          <w:rtl/>
        </w:rPr>
        <w:t>נ.</w:t>
      </w:r>
      <w:r w:rsidR="006A18F1">
        <w:rPr>
          <w:rFonts w:ascii="David" w:hAnsi="David"/>
          <w:rtl/>
        </w:rPr>
        <w:t xml:space="preserve"> שטוען כי הינו שותף ובעלים בחשבון הבנק ומתנגד לביצוע כל פעולה בחשבון הבנק. מנגד, הכספים המצויים בבנק </w:t>
      </w:r>
      <w:r w:rsidR="0096275A">
        <w:rPr>
          <w:rFonts w:ascii="David" w:hAnsi="David" w:hint="cs"/>
          <w:rtl/>
        </w:rPr>
        <w:t>***</w:t>
      </w:r>
      <w:r w:rsidR="006A18F1">
        <w:rPr>
          <w:rFonts w:ascii="David" w:hAnsi="David"/>
          <w:rtl/>
        </w:rPr>
        <w:t xml:space="preserve"> הושקעו על-ידי מנהל העיזבון.</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יש לדחות את התביעה ולהורות כי מנהל העיזבון ימשיך בתפקידו.</w:t>
      </w:r>
    </w:p>
    <w:p w:rsidR="006A18F1" w:rsidRDefault="006A18F1" w:rsidP="006A18F1">
      <w:pPr>
        <w:pStyle w:val="aa"/>
        <w:rPr>
          <w:rFonts w:ascii="David" w:hAnsi="David"/>
        </w:rPr>
      </w:pPr>
    </w:p>
    <w:p w:rsidR="006A18F1" w:rsidRDefault="006A18F1" w:rsidP="006A18F1">
      <w:pPr>
        <w:spacing w:line="360" w:lineRule="auto"/>
        <w:jc w:val="both"/>
        <w:rPr>
          <w:rFonts w:ascii="David" w:hAnsi="David"/>
          <w:b/>
          <w:bCs/>
          <w:u w:val="single"/>
          <w:rtl/>
        </w:rPr>
      </w:pPr>
      <w:r>
        <w:rPr>
          <w:rFonts w:ascii="David" w:hAnsi="David"/>
          <w:b/>
          <w:bCs/>
          <w:u w:val="single"/>
          <w:rtl/>
        </w:rPr>
        <w:t>עמדת ב"כ היועמ"ש</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לאור תיקון 18 אשר נכנס לתוקף ביום 1.7.23 ובהתאם להוראות תקנות הירושה, ב"כ היועמ"ש אינו המשיב הנכון לבק</w:t>
      </w:r>
      <w:r w:rsidR="003D39D6">
        <w:rPr>
          <w:rFonts w:ascii="David" w:hAnsi="David"/>
          <w:rtl/>
        </w:rPr>
        <w:t>שה, ואין בכוונתו להתערב בהליכים</w:t>
      </w:r>
      <w:r>
        <w:rPr>
          <w:rFonts w:ascii="David" w:hAnsi="David"/>
          <w:rtl/>
        </w:rPr>
        <w:t xml:space="preserve"> הנוגעים לה.</w:t>
      </w:r>
    </w:p>
    <w:p w:rsidR="006A18F1" w:rsidRDefault="006A18F1" w:rsidP="006A18F1">
      <w:pPr>
        <w:spacing w:line="360" w:lineRule="auto"/>
        <w:jc w:val="both"/>
        <w:rPr>
          <w:rFonts w:ascii="David" w:hAnsi="David"/>
        </w:rPr>
      </w:pPr>
    </w:p>
    <w:p w:rsidR="006A18F1" w:rsidRDefault="006A18F1" w:rsidP="006A18F1">
      <w:pPr>
        <w:spacing w:line="360" w:lineRule="auto"/>
        <w:jc w:val="both"/>
        <w:rPr>
          <w:rFonts w:ascii="David" w:hAnsi="David"/>
          <w:b/>
          <w:bCs/>
          <w:u w:val="single"/>
        </w:rPr>
      </w:pPr>
      <w:r>
        <w:rPr>
          <w:rFonts w:ascii="David" w:hAnsi="David"/>
          <w:b/>
          <w:bCs/>
          <w:u w:val="single"/>
          <w:rtl/>
        </w:rPr>
        <w:t xml:space="preserve">הערה דיונית </w:t>
      </w:r>
    </w:p>
    <w:p w:rsidR="006A18F1" w:rsidRDefault="006A18F1" w:rsidP="006A18F1">
      <w:pPr>
        <w:spacing w:line="360" w:lineRule="auto"/>
        <w:jc w:val="both"/>
        <w:rPr>
          <w:rFonts w:ascii="David" w:hAnsi="David"/>
          <w:rtl/>
        </w:rPr>
      </w:pPr>
    </w:p>
    <w:p w:rsidR="006A18F1" w:rsidRDefault="006A18F1" w:rsidP="006A18F1">
      <w:pPr>
        <w:pStyle w:val="aa"/>
        <w:numPr>
          <w:ilvl w:val="0"/>
          <w:numId w:val="1"/>
        </w:numPr>
        <w:spacing w:line="360" w:lineRule="auto"/>
        <w:jc w:val="both"/>
        <w:rPr>
          <w:rFonts w:ascii="David" w:hAnsi="David"/>
        </w:rPr>
      </w:pPr>
      <w:r>
        <w:rPr>
          <w:rFonts w:ascii="David" w:hAnsi="David"/>
          <w:rtl/>
        </w:rPr>
        <w:t>חרף הכותרת "בקשה למינוי מנהל עיזבון", הבקשה הוגשה במתכונת תביעה. הדבר בא לידי ביטוי בכך שבפתח הבקשה נכתב "מהות התביעה: תובענה בעניין מינוי מנהל עיזבון" וצורפה הזמנה לדין, בגדרה צוין כי המבקשים הגישו תביעה ולא בקשה.</w:t>
      </w:r>
    </w:p>
    <w:p w:rsidR="006A18F1" w:rsidRDefault="006A18F1" w:rsidP="006A18F1">
      <w:pPr>
        <w:pStyle w:val="aa"/>
        <w:spacing w:line="360" w:lineRule="auto"/>
        <w:jc w:val="both"/>
        <w:rPr>
          <w:rFonts w:ascii="David" w:hAnsi="David"/>
        </w:rPr>
      </w:pPr>
    </w:p>
    <w:p w:rsidR="006A18F1" w:rsidRDefault="006A18F1" w:rsidP="006A18F1">
      <w:pPr>
        <w:pStyle w:val="aa"/>
        <w:numPr>
          <w:ilvl w:val="0"/>
          <w:numId w:val="1"/>
        </w:numPr>
        <w:spacing w:line="360" w:lineRule="auto"/>
        <w:jc w:val="both"/>
        <w:rPr>
          <w:rFonts w:ascii="David" w:hAnsi="David"/>
        </w:rPr>
      </w:pPr>
      <w:r>
        <w:rPr>
          <w:rFonts w:ascii="David" w:hAnsi="David"/>
          <w:rtl/>
        </w:rPr>
        <w:t xml:space="preserve">בקשה למינוי מנהל עיזבון הינה בקשה ולא תביעה </w:t>
      </w:r>
      <w:r>
        <w:rPr>
          <w:rFonts w:ascii="David" w:hAnsi="David"/>
          <w:b/>
          <w:bCs/>
          <w:rtl/>
        </w:rPr>
        <w:t>ראו</w:t>
      </w:r>
      <w:r>
        <w:rPr>
          <w:rFonts w:ascii="David" w:hAnsi="David"/>
          <w:rtl/>
        </w:rPr>
        <w:t>: תקנה 31 לתקנות הירושה, התשנ"ח–1998 ודינה להתברר כבקשה בכתב על-פי תקנה 50 (4) לתקנות סדר הדין האזרחי, התשע"ט–2018 (להלן: "</w:t>
      </w:r>
      <w:r>
        <w:rPr>
          <w:rFonts w:ascii="David" w:hAnsi="David"/>
          <w:b/>
          <w:bCs/>
          <w:rtl/>
        </w:rPr>
        <w:t>התקנות</w:t>
      </w:r>
      <w:r>
        <w:rPr>
          <w:rFonts w:ascii="David" w:hAnsi="David"/>
          <w:rtl/>
        </w:rPr>
        <w:t>"), דהיינו על יסוד הבקשה והתשובות בלבד</w:t>
      </w:r>
      <w:r>
        <w:rPr>
          <w:rFonts w:ascii="David" w:hAnsi="David"/>
        </w:rPr>
        <w:t>,</w:t>
      </w:r>
      <w:r>
        <w:rPr>
          <w:rFonts w:ascii="David" w:hAnsi="David"/>
          <w:rtl/>
        </w:rPr>
        <w:t xml:space="preserve"> ללא חובה לקיים דיון בבקשה.</w:t>
      </w:r>
    </w:p>
    <w:p w:rsidR="006A18F1" w:rsidRDefault="006A18F1" w:rsidP="006A18F1">
      <w:pPr>
        <w:pStyle w:val="aa"/>
        <w:rPr>
          <w:rFonts w:ascii="David" w:hAnsi="David"/>
        </w:rPr>
      </w:pPr>
    </w:p>
    <w:p w:rsidR="006A18F1" w:rsidRDefault="006A18F1" w:rsidP="006A18F1">
      <w:pPr>
        <w:spacing w:line="360" w:lineRule="auto"/>
        <w:jc w:val="both"/>
        <w:rPr>
          <w:rFonts w:ascii="David" w:hAnsi="David"/>
          <w:b/>
          <w:bCs/>
          <w:u w:val="single"/>
          <w:rtl/>
        </w:rPr>
      </w:pPr>
      <w:r>
        <w:rPr>
          <w:rFonts w:ascii="David" w:hAnsi="David"/>
          <w:b/>
          <w:bCs/>
          <w:u w:val="single"/>
          <w:rtl/>
        </w:rPr>
        <w:t xml:space="preserve">הכרעה </w:t>
      </w:r>
    </w:p>
    <w:p w:rsidR="006A18F1" w:rsidRDefault="006A18F1" w:rsidP="006A18F1">
      <w:pPr>
        <w:spacing w:line="360" w:lineRule="auto"/>
        <w:jc w:val="both"/>
        <w:rPr>
          <w:rFonts w:ascii="David" w:hAnsi="David"/>
          <w:rtl/>
        </w:rPr>
      </w:pPr>
    </w:p>
    <w:p w:rsidR="006A18F1" w:rsidRDefault="006A18F1" w:rsidP="006A18F1">
      <w:pPr>
        <w:pStyle w:val="aa"/>
        <w:numPr>
          <w:ilvl w:val="0"/>
          <w:numId w:val="1"/>
        </w:numPr>
        <w:spacing w:line="360" w:lineRule="auto"/>
        <w:jc w:val="both"/>
        <w:rPr>
          <w:rFonts w:ascii="David" w:hAnsi="David"/>
        </w:rPr>
      </w:pPr>
      <w:r>
        <w:rPr>
          <w:rFonts w:ascii="David" w:hAnsi="David"/>
          <w:rtl/>
        </w:rPr>
        <w:t>לאחר עיון בטענות הצדדים ובהליכים הנוספים בעניין העיזבון, הגעתי למסקנה כי דין הבקשה להידחות.</w:t>
      </w:r>
    </w:p>
    <w:p w:rsidR="006A18F1" w:rsidRDefault="006A18F1" w:rsidP="006A18F1">
      <w:pPr>
        <w:spacing w:line="360" w:lineRule="auto"/>
        <w:jc w:val="both"/>
        <w:rPr>
          <w:rFonts w:ascii="David" w:hAnsi="David"/>
        </w:rPr>
      </w:pPr>
    </w:p>
    <w:p w:rsidR="006A18F1" w:rsidRDefault="006A18F1" w:rsidP="006A18F1">
      <w:pPr>
        <w:spacing w:line="360" w:lineRule="auto"/>
        <w:jc w:val="both"/>
        <w:rPr>
          <w:rFonts w:ascii="David" w:hAnsi="David"/>
          <w:u w:val="single"/>
          <w:rtl/>
        </w:rPr>
      </w:pPr>
      <w:r>
        <w:rPr>
          <w:rFonts w:ascii="David" w:hAnsi="David"/>
          <w:u w:val="single"/>
          <w:rtl/>
        </w:rPr>
        <w:t>דחיית הבקשה מטעמי השתק שיפוטי</w:t>
      </w:r>
    </w:p>
    <w:p w:rsidR="006A18F1" w:rsidRDefault="006A18F1" w:rsidP="006A18F1">
      <w:pPr>
        <w:pStyle w:val="aa"/>
        <w:spacing w:line="360" w:lineRule="auto"/>
        <w:jc w:val="both"/>
        <w:rPr>
          <w:rFonts w:ascii="David" w:hAnsi="David"/>
        </w:rPr>
      </w:pPr>
    </w:p>
    <w:p w:rsidR="006A18F1" w:rsidRDefault="006A18F1" w:rsidP="00B567C5">
      <w:pPr>
        <w:pStyle w:val="aa"/>
        <w:numPr>
          <w:ilvl w:val="0"/>
          <w:numId w:val="1"/>
        </w:numPr>
        <w:spacing w:line="360" w:lineRule="auto"/>
        <w:jc w:val="both"/>
        <w:rPr>
          <w:rFonts w:ascii="David" w:hAnsi="David"/>
        </w:rPr>
      </w:pPr>
      <w:r>
        <w:rPr>
          <w:rFonts w:ascii="David" w:hAnsi="David"/>
          <w:rtl/>
        </w:rPr>
        <w:t xml:space="preserve">בתשובת המבקשים מיום 14.2.21 שהוגשה על ידם במסגרת בקשה למינוי מנהל עיזבון זמני, נטען על ידם כי יש למנות </w:t>
      </w:r>
      <w:r>
        <w:rPr>
          <w:rFonts w:ascii="David" w:hAnsi="David"/>
          <w:b/>
          <w:bCs/>
          <w:rtl/>
        </w:rPr>
        <w:t>את א</w:t>
      </w:r>
      <w:r w:rsidR="00B567C5">
        <w:rPr>
          <w:rFonts w:ascii="David" w:hAnsi="David" w:hint="cs"/>
          <w:b/>
          <w:bCs/>
          <w:rtl/>
        </w:rPr>
        <w:t>.</w:t>
      </w:r>
      <w:r>
        <w:rPr>
          <w:rFonts w:ascii="David" w:hAnsi="David"/>
          <w:rtl/>
        </w:rPr>
        <w:t xml:space="preserve"> – </w:t>
      </w:r>
      <w:r>
        <w:rPr>
          <w:rFonts w:ascii="David" w:hAnsi="David"/>
          <w:b/>
          <w:bCs/>
          <w:rtl/>
        </w:rPr>
        <w:t>ולא את נ</w:t>
      </w:r>
      <w:r w:rsidR="00B567C5">
        <w:rPr>
          <w:rFonts w:ascii="David" w:hAnsi="David" w:hint="cs"/>
          <w:b/>
          <w:bCs/>
          <w:rtl/>
        </w:rPr>
        <w:t>.</w:t>
      </w:r>
      <w:r>
        <w:rPr>
          <w:rFonts w:ascii="David" w:hAnsi="David"/>
          <w:rtl/>
        </w:rPr>
        <w:t xml:space="preserve"> – כמנהל עיזבון זמני </w:t>
      </w:r>
      <w:r>
        <w:rPr>
          <w:rFonts w:ascii="David" w:hAnsi="David"/>
          <w:u w:val="single"/>
          <w:rtl/>
        </w:rPr>
        <w:t>ולחלופין</w:t>
      </w:r>
      <w:r>
        <w:rPr>
          <w:rFonts w:ascii="David" w:hAnsi="David"/>
          <w:rtl/>
        </w:rPr>
        <w:t xml:space="preserve">, </w:t>
      </w:r>
      <w:r>
        <w:rPr>
          <w:rFonts w:ascii="David" w:hAnsi="David"/>
          <w:b/>
          <w:bCs/>
          <w:rtl/>
        </w:rPr>
        <w:t>למנות מנהל עיזבון זמני ניטרלי</w:t>
      </w:r>
      <w:r>
        <w:rPr>
          <w:rFonts w:ascii="David" w:hAnsi="David"/>
          <w:rtl/>
        </w:rPr>
        <w:t xml:space="preserve">. </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Pr>
      </w:pPr>
      <w:r>
        <w:rPr>
          <w:rFonts w:ascii="David" w:hAnsi="David"/>
          <w:rtl/>
        </w:rPr>
        <w:t xml:space="preserve">טענה זו של המבקשים במסגרת </w:t>
      </w:r>
      <w:r w:rsidR="003D39D6">
        <w:rPr>
          <w:rFonts w:ascii="David" w:hAnsi="David" w:hint="cs"/>
          <w:rtl/>
        </w:rPr>
        <w:t>ה</w:t>
      </w:r>
      <w:r>
        <w:rPr>
          <w:rFonts w:ascii="David" w:hAnsi="David"/>
          <w:rtl/>
        </w:rPr>
        <w:t xml:space="preserve">בקשה למינוי מנהל עיזבון זמני, סותרת את טענתם בבקשה הנוכחית למנות את </w:t>
      </w:r>
      <w:r w:rsidR="006777A8">
        <w:rPr>
          <w:rFonts w:ascii="David" w:hAnsi="David"/>
          <w:rtl/>
        </w:rPr>
        <w:t>נ.</w:t>
      </w:r>
      <w:r>
        <w:rPr>
          <w:rFonts w:ascii="David" w:hAnsi="David"/>
          <w:rtl/>
        </w:rPr>
        <w:t xml:space="preserve"> כמנהל עיזבון, מבלי שניתן לכך כל הסבר. כידוע, חל איסור להעלות טענות סותרות בהליכים שונים ולרכב </w:t>
      </w:r>
      <w:r>
        <w:rPr>
          <w:rFonts w:ascii="David" w:hAnsi="David"/>
          <w:i/>
          <w:iCs/>
          <w:rtl/>
        </w:rPr>
        <w:t>"...</w:t>
      </w:r>
      <w:r>
        <w:rPr>
          <w:rFonts w:ascii="David" w:hAnsi="David"/>
          <w:i/>
          <w:iCs/>
          <w:noProof w:val="0"/>
          <w:rtl/>
        </w:rPr>
        <w:t>בעת ובעונה אחת על שני זוגות אופניים. הדבר אפשרי בקרקס אך לא בבתי</w:t>
      </w:r>
      <w:r>
        <w:rPr>
          <w:rFonts w:ascii="David" w:hAnsi="David"/>
          <w:i/>
          <w:iCs/>
          <w:noProof w:val="0"/>
          <w:position w:val="4"/>
          <w:rtl/>
        </w:rPr>
        <w:t>-</w:t>
      </w:r>
      <w:r>
        <w:rPr>
          <w:rFonts w:ascii="David" w:hAnsi="David"/>
          <w:i/>
          <w:iCs/>
          <w:rtl/>
        </w:rPr>
        <w:t>המשפט"</w:t>
      </w:r>
      <w:r>
        <w:rPr>
          <w:rFonts w:ascii="David" w:hAnsi="David"/>
          <w:rtl/>
        </w:rPr>
        <w:t xml:space="preserve"> </w:t>
      </w:r>
      <w:r>
        <w:rPr>
          <w:rFonts w:ascii="David" w:hAnsi="David"/>
          <w:b/>
          <w:bCs/>
          <w:rtl/>
        </w:rPr>
        <w:t>ראו</w:t>
      </w:r>
      <w:r>
        <w:rPr>
          <w:rFonts w:ascii="David" w:hAnsi="David"/>
          <w:rtl/>
        </w:rPr>
        <w:t xml:space="preserve">: רע"א 4224/04 </w:t>
      </w:r>
      <w:r>
        <w:rPr>
          <w:rFonts w:ascii="David" w:hAnsi="David"/>
          <w:b/>
          <w:bCs/>
          <w:rtl/>
        </w:rPr>
        <w:t>בית ששון בע"מ נ' שיכון עובדים והשקעות בע"מ</w:t>
      </w:r>
      <w:r>
        <w:rPr>
          <w:rFonts w:ascii="David" w:hAnsi="David"/>
          <w:rtl/>
        </w:rPr>
        <w:t xml:space="preserve"> (8.3.2005); ת"ע 35598-05-22 </w:t>
      </w:r>
      <w:r>
        <w:rPr>
          <w:rFonts w:ascii="David" w:hAnsi="David"/>
          <w:b/>
          <w:bCs/>
          <w:rtl/>
        </w:rPr>
        <w:t xml:space="preserve">פלונית נ' פלונית </w:t>
      </w:r>
      <w:r>
        <w:rPr>
          <w:rFonts w:ascii="David" w:hAnsi="David"/>
          <w:rtl/>
        </w:rPr>
        <w:t xml:space="preserve">(1.4.2024) ודי היה בכך כדי לדחות את הבקשה על הסף בשל השתק שיפוטי </w:t>
      </w:r>
      <w:r>
        <w:rPr>
          <w:rFonts w:ascii="David" w:hAnsi="David"/>
          <w:b/>
          <w:bCs/>
          <w:rtl/>
        </w:rPr>
        <w:t>ראו</w:t>
      </w:r>
      <w:r>
        <w:rPr>
          <w:rFonts w:ascii="David" w:hAnsi="David"/>
          <w:rtl/>
        </w:rPr>
        <w:t xml:space="preserve">: תמ"ש 825-05-22 </w:t>
      </w:r>
      <w:r>
        <w:rPr>
          <w:rFonts w:ascii="David" w:hAnsi="David"/>
          <w:b/>
          <w:bCs/>
          <w:rtl/>
        </w:rPr>
        <w:t>פלוני נ' פלונים</w:t>
      </w:r>
      <w:r>
        <w:rPr>
          <w:rFonts w:ascii="David" w:hAnsi="David"/>
          <w:rtl/>
        </w:rPr>
        <w:t xml:space="preserve"> (8.3.2024).</w:t>
      </w:r>
    </w:p>
    <w:p w:rsidR="001224A0" w:rsidRDefault="001224A0" w:rsidP="001224A0">
      <w:pPr>
        <w:pStyle w:val="aa"/>
        <w:spacing w:line="360" w:lineRule="auto"/>
        <w:jc w:val="both"/>
        <w:rPr>
          <w:rFonts w:ascii="David" w:hAnsi="David"/>
          <w:rtl/>
        </w:rPr>
      </w:pPr>
    </w:p>
    <w:p w:rsidR="006A18F1" w:rsidRDefault="006A18F1" w:rsidP="006A18F1">
      <w:pPr>
        <w:spacing w:line="360" w:lineRule="auto"/>
        <w:jc w:val="both"/>
        <w:rPr>
          <w:rFonts w:ascii="David" w:hAnsi="David"/>
          <w:u w:val="single"/>
          <w:rtl/>
        </w:rPr>
      </w:pPr>
      <w:r>
        <w:rPr>
          <w:rFonts w:ascii="David" w:hAnsi="David"/>
          <w:u w:val="single"/>
          <w:rtl/>
        </w:rPr>
        <w:t>דחיית הבקשה מטעמי מעשה בית דין</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Pr>
      </w:pPr>
      <w:r w:rsidRPr="00484F14">
        <w:rPr>
          <w:rFonts w:ascii="David" w:hAnsi="David"/>
          <w:rtl/>
        </w:rPr>
        <w:lastRenderedPageBreak/>
        <w:t>בהחלטה מיום 15.2.21, שניתנה במסגרת הבקשה למינוי מנהל עיזבון זמני, קבעתי, בין היתר, כי:</w:t>
      </w:r>
    </w:p>
    <w:p w:rsidR="006A18F1" w:rsidRPr="00484F14" w:rsidRDefault="006A18F1" w:rsidP="006A18F1">
      <w:pPr>
        <w:pStyle w:val="aa"/>
        <w:spacing w:line="360" w:lineRule="auto"/>
        <w:jc w:val="both"/>
        <w:rPr>
          <w:rFonts w:ascii="David" w:hAnsi="David"/>
        </w:rPr>
      </w:pPr>
    </w:p>
    <w:p w:rsidR="006A18F1" w:rsidRDefault="006A18F1" w:rsidP="00AE156D">
      <w:pPr>
        <w:spacing w:line="360" w:lineRule="auto"/>
        <w:ind w:left="1133" w:right="1134"/>
        <w:jc w:val="both"/>
        <w:rPr>
          <w:rFonts w:ascii="David" w:hAnsi="David"/>
          <w:i/>
          <w:iCs/>
          <w:rtl/>
        </w:rPr>
      </w:pPr>
      <w:r>
        <w:rPr>
          <w:rFonts w:ascii="David" w:hAnsi="David"/>
          <w:i/>
          <w:iCs/>
          <w:rtl/>
        </w:rPr>
        <w:t xml:space="preserve">"... בתגובה מיום 14.2.21 ביקשו המבקשים, וביניהם מר </w:t>
      </w:r>
      <w:r w:rsidR="006777A8">
        <w:rPr>
          <w:rFonts w:ascii="David" w:hAnsi="David"/>
          <w:i/>
          <w:iCs/>
          <w:rtl/>
        </w:rPr>
        <w:t>נ.</w:t>
      </w:r>
      <w:r>
        <w:rPr>
          <w:rFonts w:ascii="David" w:hAnsi="David"/>
          <w:i/>
          <w:iCs/>
          <w:rtl/>
        </w:rPr>
        <w:t xml:space="preserve"> </w:t>
      </w:r>
      <w:r w:rsidR="00AE156D">
        <w:rPr>
          <w:rFonts w:ascii="David" w:hAnsi="David" w:hint="cs"/>
          <w:i/>
          <w:iCs/>
          <w:rtl/>
        </w:rPr>
        <w:t>***</w:t>
      </w:r>
      <w:r>
        <w:rPr>
          <w:rFonts w:ascii="David" w:hAnsi="David"/>
          <w:i/>
          <w:iCs/>
          <w:rtl/>
        </w:rPr>
        <w:t xml:space="preserve">, שלא למנותו כמנהל עיזבון זמני. </w:t>
      </w:r>
    </w:p>
    <w:p w:rsidR="006A18F1" w:rsidRDefault="006A18F1" w:rsidP="006A18F1">
      <w:pPr>
        <w:spacing w:line="360" w:lineRule="auto"/>
        <w:ind w:left="1133" w:right="1134"/>
        <w:jc w:val="both"/>
        <w:rPr>
          <w:rFonts w:ascii="David" w:hAnsi="David"/>
          <w:i/>
          <w:iCs/>
          <w:rtl/>
        </w:rPr>
      </w:pPr>
    </w:p>
    <w:p w:rsidR="006A18F1" w:rsidRDefault="006A18F1" w:rsidP="006A18F1">
      <w:pPr>
        <w:spacing w:line="360" w:lineRule="auto"/>
        <w:ind w:left="1133" w:right="1134"/>
        <w:jc w:val="both"/>
        <w:rPr>
          <w:rFonts w:ascii="David" w:hAnsi="David"/>
          <w:i/>
          <w:iCs/>
          <w:rtl/>
        </w:rPr>
      </w:pPr>
      <w:r>
        <w:rPr>
          <w:rFonts w:ascii="David" w:hAnsi="David"/>
          <w:i/>
          <w:iCs/>
          <w:rtl/>
        </w:rPr>
        <w:t>לנוכח האמור בתגובת המשיב 2, מתעצם הצורך במינוי מנהל עיזבון זמני נייטראלי ..."</w:t>
      </w:r>
    </w:p>
    <w:p w:rsidR="006A18F1" w:rsidRDefault="006A18F1" w:rsidP="006A18F1">
      <w:pPr>
        <w:spacing w:line="360" w:lineRule="auto"/>
        <w:ind w:left="720"/>
        <w:jc w:val="both"/>
        <w:rPr>
          <w:rFonts w:ascii="David" w:hAnsi="David"/>
          <w:rtl/>
        </w:rPr>
      </w:pPr>
    </w:p>
    <w:p w:rsidR="006A18F1" w:rsidRDefault="006A18F1" w:rsidP="006A18F1">
      <w:pPr>
        <w:pStyle w:val="aa"/>
        <w:numPr>
          <w:ilvl w:val="0"/>
          <w:numId w:val="1"/>
        </w:numPr>
        <w:spacing w:line="360" w:lineRule="auto"/>
        <w:jc w:val="both"/>
        <w:rPr>
          <w:rFonts w:ascii="David" w:hAnsi="David"/>
        </w:rPr>
      </w:pPr>
      <w:r>
        <w:rPr>
          <w:rFonts w:ascii="David" w:hAnsi="David"/>
          <w:rtl/>
        </w:rPr>
        <w:t xml:space="preserve">על יסוד מסקנה זו בדבר הצורך במינוי מנהל עיזבון ניטרלי, בהחלטה מיום 11.3.21 מונה מנהל העיזבון כמנהל עיזבון זמני. </w:t>
      </w:r>
    </w:p>
    <w:p w:rsidR="006A18F1" w:rsidRDefault="006A18F1" w:rsidP="006A18F1">
      <w:pPr>
        <w:pStyle w:val="aa"/>
        <w:spacing w:line="360" w:lineRule="auto"/>
        <w:jc w:val="both"/>
        <w:rPr>
          <w:rFonts w:ascii="David" w:hAnsi="David"/>
        </w:rPr>
      </w:pPr>
    </w:p>
    <w:p w:rsidR="006A18F1" w:rsidRDefault="006A18F1" w:rsidP="006A18F1">
      <w:pPr>
        <w:pStyle w:val="aa"/>
        <w:numPr>
          <w:ilvl w:val="0"/>
          <w:numId w:val="1"/>
        </w:numPr>
        <w:spacing w:line="360" w:lineRule="auto"/>
        <w:jc w:val="both"/>
        <w:rPr>
          <w:rFonts w:ascii="David" w:hAnsi="David"/>
        </w:rPr>
      </w:pPr>
      <w:r>
        <w:rPr>
          <w:rFonts w:ascii="David" w:hAnsi="David"/>
          <w:rtl/>
        </w:rPr>
        <w:t xml:space="preserve">על שתי החלטות אלה לא הוגש ערעור והקביעה בדבר הצורך במינוי מנהל עיזבון ניטרלי הפכה לחלוטה ויצרה מעשה בית דין המונע מהמבקשים לשוב ולהתדיין באותו עניין שהייתה לגביו הכרעה שיפוטית </w:t>
      </w:r>
      <w:r>
        <w:rPr>
          <w:rFonts w:ascii="David" w:hAnsi="David"/>
          <w:b/>
          <w:bCs/>
          <w:rtl/>
        </w:rPr>
        <w:t>ראו</w:t>
      </w:r>
      <w:r>
        <w:rPr>
          <w:rFonts w:ascii="David" w:hAnsi="David"/>
          <w:rtl/>
        </w:rPr>
        <w:t>: ב</w:t>
      </w:r>
      <w:r>
        <w:rPr>
          <w:rtl/>
        </w:rPr>
        <w:t xml:space="preserve">ע"א 303/79 </w:t>
      </w:r>
      <w:r>
        <w:rPr>
          <w:b/>
          <w:bCs/>
          <w:rtl/>
        </w:rPr>
        <w:t>אבני נ' גליקסמן</w:t>
      </w:r>
      <w:r>
        <w:rPr>
          <w:rtl/>
        </w:rPr>
        <w:t>, פ"ד לה</w:t>
      </w:r>
      <w:r>
        <w:rPr>
          <w:rFonts w:ascii="David" w:hAnsi="David"/>
          <w:rtl/>
        </w:rPr>
        <w:t xml:space="preserve">(1) 92 (1980); ת"ע 62371-12-18 </w:t>
      </w:r>
      <w:r>
        <w:rPr>
          <w:rFonts w:ascii="David" w:hAnsi="David"/>
          <w:b/>
          <w:bCs/>
          <w:rtl/>
        </w:rPr>
        <w:t xml:space="preserve">ש' נ' האפוטרופוס הכללי במחוז ירושלים </w:t>
      </w:r>
      <w:r>
        <w:rPr>
          <w:rFonts w:ascii="David" w:hAnsi="David"/>
          <w:rtl/>
        </w:rPr>
        <w:t>(5.10.2019).</w:t>
      </w:r>
    </w:p>
    <w:p w:rsidR="006A18F1" w:rsidRDefault="006A18F1" w:rsidP="006A18F1">
      <w:pPr>
        <w:pStyle w:val="aa"/>
        <w:spacing w:line="360" w:lineRule="auto"/>
        <w:jc w:val="both"/>
        <w:rPr>
          <w:rFonts w:ascii="David" w:hAnsi="David"/>
          <w:rtl/>
        </w:rPr>
      </w:pPr>
    </w:p>
    <w:p w:rsidR="006A18F1" w:rsidRDefault="006A18F1" w:rsidP="006A18F1">
      <w:pPr>
        <w:pStyle w:val="aa"/>
        <w:numPr>
          <w:ilvl w:val="0"/>
          <w:numId w:val="1"/>
        </w:numPr>
        <w:spacing w:line="360" w:lineRule="auto"/>
        <w:jc w:val="both"/>
        <w:rPr>
          <w:rFonts w:ascii="David" w:hAnsi="David"/>
          <w:rtl/>
        </w:rPr>
      </w:pPr>
      <w:r>
        <w:rPr>
          <w:rFonts w:ascii="David" w:hAnsi="David"/>
          <w:rtl/>
        </w:rPr>
        <w:t>ער אני לכך שהקביעה בדבר הצורך במינוי מנהל עיזבון ניטרלי ניתנה במסגרת בקשה למינוי מנהל עיזבון זמני, בעוד שהבקשה הנוכחית עוסקת במינוי מנהל עיזבון קבוע ואולם הצורך כי עיזבון המנוח ינוהל על-ידי מנהל עיזבון ניטרלי נותר על כנו, והוא אף התעצם בתקופה שבין מינוי מנהל העיזבון לבין הגשת בקשה זו – כפי שיפורט להלן בהחלטה זו.</w:t>
      </w:r>
    </w:p>
    <w:p w:rsidR="006A18F1" w:rsidRDefault="006A18F1" w:rsidP="006A18F1">
      <w:pPr>
        <w:pStyle w:val="aa"/>
        <w:rPr>
          <w:rFonts w:ascii="David" w:hAnsi="David"/>
        </w:rPr>
      </w:pPr>
    </w:p>
    <w:p w:rsidR="006A18F1" w:rsidRDefault="006A18F1" w:rsidP="006A18F1">
      <w:pPr>
        <w:spacing w:line="360" w:lineRule="auto"/>
        <w:jc w:val="both"/>
        <w:rPr>
          <w:rFonts w:ascii="David" w:hAnsi="David"/>
          <w:u w:val="single"/>
          <w:rtl/>
        </w:rPr>
      </w:pPr>
      <w:r>
        <w:rPr>
          <w:rFonts w:ascii="David" w:hAnsi="David"/>
          <w:u w:val="single"/>
          <w:rtl/>
        </w:rPr>
        <w:t>דחיית הבקשה לגופה</w:t>
      </w:r>
    </w:p>
    <w:p w:rsidR="006A18F1" w:rsidRDefault="006A18F1" w:rsidP="006A18F1">
      <w:pPr>
        <w:pStyle w:val="aa"/>
        <w:rPr>
          <w:rFonts w:ascii="David" w:hAnsi="David"/>
        </w:rPr>
      </w:pPr>
    </w:p>
    <w:p w:rsidR="006A18F1" w:rsidRPr="00EB697C" w:rsidRDefault="006A18F1" w:rsidP="006A18F1">
      <w:pPr>
        <w:pStyle w:val="aa"/>
        <w:numPr>
          <w:ilvl w:val="0"/>
          <w:numId w:val="1"/>
        </w:numPr>
        <w:spacing w:line="360" w:lineRule="auto"/>
        <w:jc w:val="both"/>
        <w:rPr>
          <w:rFonts w:ascii="David" w:hAnsi="David"/>
          <w:rtl/>
        </w:rPr>
      </w:pPr>
      <w:r w:rsidRPr="006777A8">
        <w:rPr>
          <w:rFonts w:ascii="David" w:hAnsi="David"/>
          <w:rtl/>
        </w:rPr>
        <w:t>סעיף 81</w:t>
      </w:r>
      <w:r w:rsidRPr="00EB697C">
        <w:rPr>
          <w:rFonts w:ascii="David" w:hAnsi="David"/>
          <w:rtl/>
        </w:rPr>
        <w:t xml:space="preserve"> ל</w:t>
      </w:r>
      <w:r w:rsidRPr="006777A8">
        <w:rPr>
          <w:rFonts w:ascii="David" w:hAnsi="David"/>
          <w:rtl/>
        </w:rPr>
        <w:t>חוק הירושה</w:t>
      </w:r>
      <w:r w:rsidRPr="00EB697C">
        <w:rPr>
          <w:rFonts w:ascii="David" w:hAnsi="David"/>
          <w:rtl/>
        </w:rPr>
        <w:t>, תשכ"ה–1965 קובע כי:</w:t>
      </w:r>
    </w:p>
    <w:p w:rsidR="006A18F1" w:rsidRDefault="006A18F1" w:rsidP="006A18F1">
      <w:pPr>
        <w:spacing w:line="360" w:lineRule="auto"/>
        <w:jc w:val="both"/>
        <w:rPr>
          <w:rFonts w:ascii="David" w:hAnsi="David"/>
          <w:noProof w:val="0"/>
        </w:rPr>
      </w:pPr>
    </w:p>
    <w:p w:rsidR="006A18F1" w:rsidRDefault="006A18F1" w:rsidP="006A18F1">
      <w:pPr>
        <w:spacing w:line="360" w:lineRule="auto"/>
        <w:ind w:left="1133" w:right="1134"/>
        <w:jc w:val="both"/>
        <w:rPr>
          <w:rFonts w:ascii="David" w:hAnsi="David"/>
          <w:noProof w:val="0"/>
          <w:rtl/>
        </w:rPr>
      </w:pPr>
      <w:r>
        <w:rPr>
          <w:rFonts w:ascii="David" w:hAnsi="David"/>
          <w:noProof w:val="0"/>
          <w:rtl/>
        </w:rPr>
        <w:t>"</w:t>
      </w:r>
      <w:r>
        <w:rPr>
          <w:rFonts w:ascii="David" w:hAnsi="David"/>
          <w:b/>
          <w:bCs/>
          <w:noProof w:val="0"/>
          <w:rtl/>
        </w:rPr>
        <w:t>קבע המוריש בצוואתו אדם שיבצע צוואתו או שינהל עזבונו, ימנה בית המשפט או הרשם לענייני ירושה, לפי העניין, אותו אדם כמנהל עיזבון, זולת אם אינו יכול או אינו מסכים לקבל את המינוי או שבית המשפט או הרשם לענייני ירושה משוכנע, מטעמים מיוחדים שיירשמו, שיש סיבות מיוחדות שלא למנותו</w:t>
      </w:r>
      <w:r>
        <w:rPr>
          <w:rFonts w:ascii="David" w:hAnsi="David"/>
          <w:noProof w:val="0"/>
          <w:rtl/>
        </w:rPr>
        <w:t>".</w:t>
      </w:r>
    </w:p>
    <w:p w:rsidR="006A18F1" w:rsidRDefault="006A18F1" w:rsidP="006A18F1">
      <w:pPr>
        <w:spacing w:line="360" w:lineRule="auto"/>
        <w:ind w:left="1133" w:right="1134"/>
        <w:jc w:val="both"/>
        <w:rPr>
          <w:rFonts w:ascii="David" w:hAnsi="David"/>
          <w:noProof w:val="0"/>
          <w:rtl/>
        </w:rPr>
      </w:pPr>
    </w:p>
    <w:p w:rsidR="006A18F1" w:rsidRDefault="006A18F1" w:rsidP="006A18F1">
      <w:pPr>
        <w:pStyle w:val="aa"/>
        <w:numPr>
          <w:ilvl w:val="0"/>
          <w:numId w:val="1"/>
        </w:numPr>
        <w:spacing w:line="360" w:lineRule="auto"/>
        <w:jc w:val="both"/>
        <w:rPr>
          <w:rFonts w:ascii="David" w:hAnsi="David"/>
          <w:noProof w:val="0"/>
          <w:rtl/>
        </w:rPr>
      </w:pPr>
      <w:r w:rsidRPr="00EB697C">
        <w:rPr>
          <w:rFonts w:ascii="David" w:hAnsi="David"/>
          <w:noProof w:val="0"/>
          <w:rtl/>
        </w:rPr>
        <w:lastRenderedPageBreak/>
        <w:t xml:space="preserve">נקודת המוצא של </w:t>
      </w:r>
      <w:r w:rsidRPr="001224A0">
        <w:rPr>
          <w:rFonts w:ascii="David" w:hAnsi="David"/>
          <w:noProof w:val="0"/>
          <w:rtl/>
        </w:rPr>
        <w:t>חוק הירושה</w:t>
      </w:r>
      <w:r w:rsidRPr="00EB697C">
        <w:rPr>
          <w:rFonts w:ascii="David" w:hAnsi="David"/>
          <w:noProof w:val="0"/>
          <w:rtl/>
        </w:rPr>
        <w:t xml:space="preserve"> הינה קיום רצון המצווה בצוואתו, לרבות לעניין זהותו של </w:t>
      </w:r>
      <w:r>
        <w:rPr>
          <w:rFonts w:ascii="David" w:hAnsi="David"/>
          <w:noProof w:val="0"/>
          <w:rtl/>
        </w:rPr>
        <w:t xml:space="preserve">מנהל העיזבון </w:t>
      </w:r>
      <w:r>
        <w:rPr>
          <w:rFonts w:ascii="David" w:hAnsi="David"/>
          <w:b/>
          <w:bCs/>
          <w:noProof w:val="0"/>
          <w:rtl/>
        </w:rPr>
        <w:t>ראו:</w:t>
      </w:r>
      <w:r>
        <w:rPr>
          <w:rFonts w:ascii="David" w:hAnsi="David"/>
          <w:noProof w:val="0"/>
          <w:rtl/>
        </w:rPr>
        <w:t xml:space="preserve"> ת"ע 37181-11-21</w:t>
      </w:r>
      <w:r>
        <w:rPr>
          <w:rFonts w:ascii="David" w:hAnsi="David"/>
          <w:b/>
          <w:bCs/>
          <w:noProof w:val="0"/>
          <w:rtl/>
        </w:rPr>
        <w:t xml:space="preserve"> פלוני נ' האפוטרופוס הכללי במחוז תל-אביב </w:t>
      </w:r>
      <w:r>
        <w:rPr>
          <w:rFonts w:ascii="David" w:hAnsi="David"/>
          <w:noProof w:val="0"/>
          <w:rtl/>
        </w:rPr>
        <w:t>(6.8.2022).</w:t>
      </w:r>
    </w:p>
    <w:p w:rsidR="006A18F1" w:rsidRDefault="006A18F1" w:rsidP="006A18F1">
      <w:pPr>
        <w:spacing w:line="360" w:lineRule="auto"/>
        <w:jc w:val="both"/>
        <w:rPr>
          <w:rFonts w:ascii="David" w:hAnsi="David"/>
          <w:rtl/>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יחד עם זאת, לצד האמור, ביהמ"ש איננו מחויב למנות כמנהל עזבון מי ששמו ננקב בצוואה, בהתקיים טעמים מיוחדים המצדיקים זאת </w:t>
      </w:r>
      <w:r>
        <w:rPr>
          <w:rFonts w:ascii="David" w:hAnsi="David"/>
          <w:b/>
          <w:bCs/>
          <w:rtl/>
        </w:rPr>
        <w:t>ראו</w:t>
      </w:r>
      <w:r>
        <w:rPr>
          <w:rFonts w:ascii="David" w:hAnsi="David"/>
          <w:rtl/>
        </w:rPr>
        <w:t xml:space="preserve">: עמ"ש 51028-10-22 </w:t>
      </w:r>
      <w:r>
        <w:rPr>
          <w:rFonts w:ascii="David" w:hAnsi="David"/>
          <w:b/>
          <w:bCs/>
          <w:rtl/>
        </w:rPr>
        <w:t xml:space="preserve">באום נ' האפוטרופוס הכללי במחוז תל-אביב </w:t>
      </w:r>
      <w:r>
        <w:rPr>
          <w:rFonts w:ascii="David" w:hAnsi="David"/>
          <w:rtl/>
        </w:rPr>
        <w:t>(13.6.2023).</w:t>
      </w:r>
      <w:r>
        <w:rPr>
          <w:rFonts w:ascii="David" w:hAnsi="David"/>
          <w:noProof w:val="0"/>
          <w:rtl/>
        </w:rPr>
        <w:t xml:space="preserve"> </w:t>
      </w:r>
    </w:p>
    <w:p w:rsidR="006A18F1" w:rsidRDefault="006A18F1" w:rsidP="006A18F1">
      <w:pPr>
        <w:spacing w:line="360" w:lineRule="auto"/>
        <w:jc w:val="both"/>
        <w:rPr>
          <w:rFonts w:ascii="David" w:hAnsi="David"/>
          <w:noProof w:val="0"/>
          <w:rtl/>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מבין הטעמים העשויים לבוא בגדר טעמים מיוחדים כאמור, הוכר בספרות ובפסיקה אף מצב דברים, בו מתקיימים יחסים עכורים ונעדרי אמון בין הנוגעים בדבר באופן המעמיד חשש לחוסר שיתוף-פעולה בקיום הצוואה, ריבוי חיכוכים וסכסוכים וצורך עקב כך במעורבות מוגברת של ביהמ"ש </w:t>
      </w:r>
      <w:r>
        <w:rPr>
          <w:rFonts w:ascii="David" w:hAnsi="David"/>
          <w:b/>
          <w:bCs/>
          <w:noProof w:val="0"/>
          <w:rtl/>
        </w:rPr>
        <w:t>ראו</w:t>
      </w:r>
      <w:r>
        <w:rPr>
          <w:rFonts w:ascii="David" w:hAnsi="David"/>
          <w:noProof w:val="0"/>
          <w:rtl/>
        </w:rPr>
        <w:t xml:space="preserve">: </w:t>
      </w:r>
      <w:proofErr w:type="spellStart"/>
      <w:r>
        <w:rPr>
          <w:rFonts w:ascii="David" w:hAnsi="David"/>
          <w:noProof w:val="0"/>
          <w:rtl/>
        </w:rPr>
        <w:t>רמ"ש</w:t>
      </w:r>
      <w:proofErr w:type="spellEnd"/>
      <w:r>
        <w:rPr>
          <w:rFonts w:ascii="David" w:hAnsi="David"/>
          <w:noProof w:val="0"/>
          <w:rtl/>
        </w:rPr>
        <w:t xml:space="preserve"> 38460-07-22 </w:t>
      </w:r>
      <w:r>
        <w:rPr>
          <w:rFonts w:ascii="David" w:hAnsi="David"/>
          <w:b/>
          <w:bCs/>
          <w:noProof w:val="0"/>
          <w:rtl/>
        </w:rPr>
        <w:t>פלונים נ' פלונים</w:t>
      </w:r>
      <w:r>
        <w:rPr>
          <w:rFonts w:ascii="David" w:hAnsi="David"/>
          <w:noProof w:val="0"/>
          <w:rtl/>
        </w:rPr>
        <w:t xml:space="preserve"> (8.11.2022).</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במקרה שלפניי, קיימת מערכת יחסים מורכבת, שלא לומר עכורה בין קבוצות היורשים. לשם ההמחשה יצוין, כי בנוסף להליך זה, נפתחו לא פחות מ-11 הליכים משפטיים, העוסקים בעיזבון המנוחים והוגשו על-ידי מנהל העיזבון תביעות לקביעת היקף עיזבון. </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במסגרת הליכים משפטיים אלה ניתנו למעלה מ-460 החלטות שיפוטיות ובין היתר, בשל אי-שיתוף הפעולה של היורשים, נדרש מנהל העיזבון, מפעם לפעם, להגיש בקשות למתן הוראות.</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במצב דברים זה, כאשר קיימים יחסים עכורים בין היורשים, וכאשר היורשים מקשים על תפקודו של מנהל עיזבון ניטרלי, אין מקום למנות את אחד היורשים כמנהל עיזבון קבוע, גם אם זהותו נקבעה על-ידי המנוח בצוואה.</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בית המשפט העליון הבהיר כי "על פי הדין, מקום שהשתכנע בית המשפט כי היחסים בין הממונה בצוואה לבין היורשים משובשים ביותר, יטה שלא למנות, וזאת במסגרת סמכותו </w:t>
      </w:r>
      <w:r w:rsidRPr="00EB697C">
        <w:rPr>
          <w:rFonts w:ascii="David" w:hAnsi="David"/>
          <w:rtl/>
        </w:rPr>
        <w:t xml:space="preserve">מכוח </w:t>
      </w:r>
      <w:r w:rsidRPr="006777A8">
        <w:rPr>
          <w:rFonts w:ascii="David" w:hAnsi="David"/>
          <w:rtl/>
        </w:rPr>
        <w:t>סעיף 81</w:t>
      </w:r>
      <w:r w:rsidRPr="00EB697C">
        <w:rPr>
          <w:rFonts w:ascii="David" w:hAnsi="David"/>
          <w:rtl/>
        </w:rPr>
        <w:t xml:space="preserve"> ל</w:t>
      </w:r>
      <w:r w:rsidRPr="006777A8">
        <w:rPr>
          <w:rFonts w:ascii="David" w:hAnsi="David"/>
          <w:rtl/>
        </w:rPr>
        <w:t>חוק הירושה</w:t>
      </w:r>
      <w:r w:rsidRPr="00EB697C">
        <w:rPr>
          <w:rFonts w:ascii="David" w:hAnsi="David"/>
          <w:rtl/>
        </w:rPr>
        <w:t xml:space="preserve">, שלכך, בין השאר, נועד" </w:t>
      </w:r>
      <w:r w:rsidRPr="00EB697C">
        <w:rPr>
          <w:rFonts w:ascii="David" w:hAnsi="David"/>
          <w:b/>
          <w:bCs/>
          <w:rtl/>
        </w:rPr>
        <w:t>ראו</w:t>
      </w:r>
      <w:r w:rsidRPr="00EB697C">
        <w:rPr>
          <w:rFonts w:ascii="David" w:hAnsi="David"/>
          <w:rtl/>
        </w:rPr>
        <w:t xml:space="preserve">: בע"מ 4884/15 </w:t>
      </w:r>
      <w:r w:rsidRPr="00EB697C">
        <w:rPr>
          <w:rFonts w:ascii="David" w:hAnsi="David"/>
          <w:b/>
          <w:bCs/>
          <w:rtl/>
        </w:rPr>
        <w:t xml:space="preserve">פלוני נ' פלוני </w:t>
      </w:r>
      <w:r>
        <w:rPr>
          <w:rFonts w:ascii="David" w:hAnsi="David"/>
          <w:rtl/>
        </w:rPr>
        <w:t>(11.10.2015).</w:t>
      </w:r>
    </w:p>
    <w:p w:rsidR="006A18F1" w:rsidRDefault="006A18F1" w:rsidP="006A18F1">
      <w:pPr>
        <w:spacing w:line="360" w:lineRule="auto"/>
        <w:jc w:val="both"/>
        <w:rPr>
          <w:rFonts w:ascii="David" w:hAnsi="David"/>
          <w:rtl/>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במקרים שכאלה מן הראוי למנות מנהל עיזבון ניטרלי תוך מתן עדיפות לעורך דין בשל מיומנותו </w:t>
      </w:r>
      <w:r>
        <w:rPr>
          <w:rFonts w:ascii="David" w:hAnsi="David"/>
          <w:b/>
          <w:bCs/>
          <w:rtl/>
        </w:rPr>
        <w:t>ראו</w:t>
      </w:r>
      <w:r>
        <w:rPr>
          <w:rFonts w:ascii="David" w:hAnsi="David"/>
          <w:rtl/>
        </w:rPr>
        <w:t xml:space="preserve"> : על"ע 2156/93 </w:t>
      </w:r>
      <w:r>
        <w:rPr>
          <w:rFonts w:ascii="David" w:hAnsi="David"/>
          <w:b/>
          <w:bCs/>
          <w:rtl/>
        </w:rPr>
        <w:t xml:space="preserve">פלוני נ' הוועד המחוזי של לשכת עורכי הדין בתל אביב, </w:t>
      </w:r>
      <w:r>
        <w:rPr>
          <w:rFonts w:ascii="David" w:hAnsi="David"/>
          <w:rtl/>
        </w:rPr>
        <w:t>פ"ד מח(2) 177 (1994)</w:t>
      </w:r>
      <w:r w:rsidR="00061801">
        <w:rPr>
          <w:rFonts w:ascii="David" w:hAnsi="David" w:hint="cs"/>
          <w:rtl/>
        </w:rPr>
        <w:t>,</w:t>
      </w:r>
      <w:r>
        <w:rPr>
          <w:rFonts w:ascii="David" w:hAnsi="David"/>
          <w:rtl/>
        </w:rPr>
        <w:t xml:space="preserve"> כפי שנעשה במקרה שלפניי.</w:t>
      </w:r>
    </w:p>
    <w:p w:rsidR="006A18F1" w:rsidRDefault="006A18F1" w:rsidP="006A18F1">
      <w:pPr>
        <w:pStyle w:val="aa"/>
        <w:rPr>
          <w:rFonts w:ascii="David" w:hAnsi="David"/>
        </w:rPr>
      </w:pPr>
    </w:p>
    <w:p w:rsidR="006A18F1" w:rsidRDefault="006A18F1" w:rsidP="006A18F1">
      <w:pPr>
        <w:pStyle w:val="aa"/>
        <w:numPr>
          <w:ilvl w:val="0"/>
          <w:numId w:val="1"/>
        </w:numPr>
        <w:spacing w:line="360" w:lineRule="auto"/>
        <w:jc w:val="both"/>
        <w:rPr>
          <w:rFonts w:ascii="David" w:hAnsi="David"/>
          <w:rtl/>
        </w:rPr>
      </w:pPr>
      <w:r>
        <w:rPr>
          <w:rFonts w:ascii="David" w:hAnsi="David"/>
          <w:rtl/>
        </w:rPr>
        <w:t xml:space="preserve">ער אני לכך שעיקרון כיבוד רצון המת, הוא עיקרון על בדיני הצוואות אשר חוסה תחת צלו של חוק יסוד: כבוד האדם וחירותו </w:t>
      </w:r>
      <w:r>
        <w:rPr>
          <w:rFonts w:ascii="David" w:hAnsi="David"/>
          <w:b/>
          <w:bCs/>
          <w:rtl/>
        </w:rPr>
        <w:t>ראו</w:t>
      </w:r>
      <w:r>
        <w:rPr>
          <w:rFonts w:ascii="David" w:hAnsi="David"/>
          <w:rtl/>
        </w:rPr>
        <w:t xml:space="preserve">: ת"ע 15680-11-21 </w:t>
      </w:r>
      <w:r>
        <w:rPr>
          <w:rFonts w:ascii="David" w:hAnsi="David"/>
          <w:b/>
          <w:bCs/>
          <w:rtl/>
        </w:rPr>
        <w:t>פלוני נ' אלמוני</w:t>
      </w:r>
      <w:r>
        <w:rPr>
          <w:rFonts w:ascii="David" w:hAnsi="David"/>
          <w:rtl/>
        </w:rPr>
        <w:t xml:space="preserve"> (4.12.2023).</w:t>
      </w:r>
    </w:p>
    <w:p w:rsidR="006A18F1" w:rsidRDefault="006A18F1" w:rsidP="006A18F1">
      <w:pPr>
        <w:pStyle w:val="aa"/>
        <w:numPr>
          <w:ilvl w:val="0"/>
          <w:numId w:val="1"/>
        </w:numPr>
        <w:spacing w:line="360" w:lineRule="auto"/>
        <w:jc w:val="both"/>
        <w:rPr>
          <w:rFonts w:ascii="David" w:hAnsi="David"/>
          <w:noProof w:val="0"/>
          <w:rtl/>
        </w:rPr>
      </w:pPr>
      <w:r>
        <w:rPr>
          <w:rFonts w:ascii="David" w:hAnsi="David"/>
          <w:rtl/>
        </w:rPr>
        <w:lastRenderedPageBreak/>
        <w:t>יחד עם זאת, עיקרון כיבוד רצון המת "...</w:t>
      </w:r>
      <w:r>
        <w:rPr>
          <w:rFonts w:ascii="David" w:hAnsi="David"/>
          <w:i/>
          <w:iCs/>
          <w:noProof w:val="0"/>
          <w:rtl/>
        </w:rPr>
        <w:t xml:space="preserve">אינו מוחלט ולעתים הדבר איננו אפשרי... יתכן, והדברים נאמרים על דרך הכלל, כי </w:t>
      </w:r>
      <w:proofErr w:type="spellStart"/>
      <w:r>
        <w:rPr>
          <w:rFonts w:ascii="David" w:hAnsi="David"/>
          <w:i/>
          <w:iCs/>
          <w:noProof w:val="0"/>
          <w:rtl/>
        </w:rPr>
        <w:t>בכגון</w:t>
      </w:r>
      <w:proofErr w:type="spellEnd"/>
      <w:r>
        <w:rPr>
          <w:rFonts w:ascii="David" w:hAnsi="David"/>
          <w:i/>
          <w:iCs/>
          <w:noProof w:val="0"/>
          <w:rtl/>
        </w:rPr>
        <w:t xml:space="preserve"> דא יש להבחין בין ליבת הצוואה, קרי, מי יזכה ברכוש, לבין שוליה, כגון מינוי מנהל עיזבון</w:t>
      </w:r>
      <w:r>
        <w:rPr>
          <w:rFonts w:ascii="David" w:hAnsi="David"/>
          <w:noProof w:val="0"/>
          <w:rtl/>
        </w:rPr>
        <w:t xml:space="preserve">" </w:t>
      </w:r>
      <w:r>
        <w:rPr>
          <w:rFonts w:ascii="David" w:hAnsi="David"/>
          <w:b/>
          <w:bCs/>
          <w:noProof w:val="0"/>
          <w:rtl/>
        </w:rPr>
        <w:t>ראו</w:t>
      </w:r>
      <w:r>
        <w:rPr>
          <w:rFonts w:ascii="David" w:hAnsi="David"/>
          <w:noProof w:val="0"/>
          <w:rtl/>
        </w:rPr>
        <w:t xml:space="preserve">: </w:t>
      </w:r>
      <w:r>
        <w:rPr>
          <w:rFonts w:ascii="David" w:hAnsi="David"/>
          <w:rtl/>
        </w:rPr>
        <w:t xml:space="preserve">בע"מ 7081/14 </w:t>
      </w:r>
      <w:r>
        <w:rPr>
          <w:rFonts w:ascii="David" w:hAnsi="David"/>
          <w:b/>
          <w:bCs/>
          <w:rtl/>
        </w:rPr>
        <w:t>עזבון המנוחה פלונית נ' פלוניות</w:t>
      </w:r>
      <w:r>
        <w:rPr>
          <w:rFonts w:ascii="David" w:hAnsi="David"/>
          <w:rtl/>
        </w:rPr>
        <w:t xml:space="preserve"> (30.10.2014)</w:t>
      </w:r>
      <w:r>
        <w:rPr>
          <w:rFonts w:ascii="David" w:hAnsi="David"/>
          <w:noProof w:val="0"/>
          <w:rtl/>
        </w:rPr>
        <w:t xml:space="preserve">; </w:t>
      </w:r>
      <w:proofErr w:type="spellStart"/>
      <w:r>
        <w:rPr>
          <w:rFonts w:ascii="David" w:hAnsi="David"/>
          <w:noProof w:val="0"/>
          <w:rtl/>
        </w:rPr>
        <w:t>עמ"ש</w:t>
      </w:r>
      <w:proofErr w:type="spellEnd"/>
      <w:r>
        <w:rPr>
          <w:rFonts w:ascii="David" w:hAnsi="David"/>
          <w:noProof w:val="0"/>
          <w:rtl/>
        </w:rPr>
        <w:t xml:space="preserve"> (חי') 38959-09-14 </w:t>
      </w:r>
      <w:r>
        <w:rPr>
          <w:rFonts w:ascii="David" w:hAnsi="David"/>
          <w:b/>
          <w:bCs/>
          <w:noProof w:val="0"/>
          <w:rtl/>
        </w:rPr>
        <w:t xml:space="preserve">עיזבון ס' ו' נ' האפוטרופוס הכללי </w:t>
      </w:r>
      <w:r>
        <w:rPr>
          <w:rFonts w:ascii="David" w:hAnsi="David"/>
          <w:noProof w:val="0"/>
          <w:sz w:val="22"/>
          <w:rtl/>
        </w:rPr>
        <w:t xml:space="preserve"> </w:t>
      </w:r>
      <w:r>
        <w:rPr>
          <w:rFonts w:ascii="David" w:hAnsi="David"/>
          <w:noProof w:val="0"/>
          <w:rtl/>
        </w:rPr>
        <w:t>(22.6.2015).</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ישנו טעם נוסף, בגינו אין מקום למנות את </w:t>
      </w:r>
      <w:r w:rsidR="006777A8">
        <w:rPr>
          <w:rFonts w:ascii="David" w:hAnsi="David"/>
          <w:noProof w:val="0"/>
          <w:rtl/>
        </w:rPr>
        <w:t>נ.</w:t>
      </w:r>
      <w:r>
        <w:rPr>
          <w:rFonts w:ascii="David" w:hAnsi="David"/>
          <w:noProof w:val="0"/>
          <w:rtl/>
        </w:rPr>
        <w:t xml:space="preserve"> כמנהל עיזבון קבוע. </w:t>
      </w:r>
    </w:p>
    <w:p w:rsidR="006A18F1" w:rsidRDefault="006A18F1" w:rsidP="006A18F1">
      <w:pPr>
        <w:pStyle w:val="aa"/>
        <w:rPr>
          <w:rFonts w:ascii="David" w:hAnsi="David"/>
          <w:noProof w:val="0"/>
        </w:rPr>
      </w:pPr>
    </w:p>
    <w:p w:rsidR="006A18F1" w:rsidRDefault="006A18F1" w:rsidP="00742F74">
      <w:pPr>
        <w:pStyle w:val="aa"/>
        <w:numPr>
          <w:ilvl w:val="0"/>
          <w:numId w:val="1"/>
        </w:numPr>
        <w:spacing w:line="360" w:lineRule="auto"/>
        <w:jc w:val="both"/>
        <w:rPr>
          <w:rFonts w:ascii="David" w:hAnsi="David"/>
          <w:noProof w:val="0"/>
          <w:rtl/>
        </w:rPr>
      </w:pPr>
      <w:r>
        <w:rPr>
          <w:rFonts w:ascii="David" w:hAnsi="David"/>
          <w:noProof w:val="0"/>
          <w:rtl/>
        </w:rPr>
        <w:t xml:space="preserve">במסגרת ת"ע </w:t>
      </w:r>
      <w:r w:rsidR="00742F74">
        <w:rPr>
          <w:rFonts w:ascii="David" w:hAnsi="David" w:hint="cs"/>
          <w:noProof w:val="0"/>
          <w:rtl/>
        </w:rPr>
        <w:t>***</w:t>
      </w:r>
      <w:r>
        <w:rPr>
          <w:rFonts w:ascii="David" w:hAnsi="David"/>
          <w:noProof w:val="0"/>
          <w:rtl/>
        </w:rPr>
        <w:t xml:space="preserve"> הגיש מנהל העיזבון ביום 13.7.21 דו"ח ראשוני ובקשה למתן הוראות (להלן: "</w:t>
      </w:r>
      <w:r>
        <w:rPr>
          <w:rFonts w:ascii="David" w:hAnsi="David"/>
          <w:b/>
          <w:bCs/>
          <w:noProof w:val="0"/>
          <w:rtl/>
        </w:rPr>
        <w:t>דוח ראשוני</w:t>
      </w:r>
      <w:r>
        <w:rPr>
          <w:rFonts w:ascii="David" w:hAnsi="David"/>
          <w:noProof w:val="0"/>
          <w:rtl/>
        </w:rPr>
        <w:t>"). במסגרת הדו"ח הראשוני ציין מנהל העיזבון, בין היתר, כי בבית המנוחים נמצאה כספת ריקה, לגביה קיימות גרסאות שונות של היורשים.</w:t>
      </w:r>
    </w:p>
    <w:p w:rsidR="006A18F1" w:rsidRDefault="006A18F1" w:rsidP="006A18F1">
      <w:pPr>
        <w:pStyle w:val="aa"/>
        <w:rPr>
          <w:rFonts w:ascii="David" w:hAnsi="David"/>
          <w:noProof w:val="0"/>
        </w:rPr>
      </w:pPr>
    </w:p>
    <w:p w:rsidR="006A18F1" w:rsidRDefault="006A18F1" w:rsidP="00E959A4">
      <w:pPr>
        <w:pStyle w:val="aa"/>
        <w:numPr>
          <w:ilvl w:val="0"/>
          <w:numId w:val="1"/>
        </w:numPr>
        <w:spacing w:line="360" w:lineRule="auto"/>
        <w:jc w:val="both"/>
        <w:rPr>
          <w:rFonts w:ascii="David" w:hAnsi="David"/>
          <w:noProof w:val="0"/>
          <w:rtl/>
        </w:rPr>
      </w:pPr>
      <w:r>
        <w:rPr>
          <w:rFonts w:ascii="David" w:hAnsi="David"/>
          <w:noProof w:val="0"/>
          <w:rtl/>
        </w:rPr>
        <w:t xml:space="preserve">על-פי גרסתו של </w:t>
      </w:r>
      <w:r w:rsidR="006777A8">
        <w:rPr>
          <w:rFonts w:ascii="David" w:hAnsi="David"/>
          <w:noProof w:val="0"/>
          <w:rtl/>
        </w:rPr>
        <w:t>נ.</w:t>
      </w:r>
      <w:r>
        <w:rPr>
          <w:rFonts w:ascii="David" w:hAnsi="David"/>
          <w:noProof w:val="0"/>
          <w:rtl/>
        </w:rPr>
        <w:t xml:space="preserve">, ביום </w:t>
      </w:r>
      <w:r w:rsidR="00E959A4">
        <w:rPr>
          <w:rFonts w:ascii="David" w:hAnsi="David" w:hint="cs"/>
          <w:noProof w:val="0"/>
          <w:rtl/>
        </w:rPr>
        <w:t>00</w:t>
      </w:r>
      <w:r>
        <w:rPr>
          <w:rFonts w:ascii="David" w:hAnsi="David"/>
          <w:noProof w:val="0"/>
          <w:rtl/>
        </w:rPr>
        <w:t>.</w:t>
      </w:r>
      <w:r w:rsidR="00E959A4">
        <w:rPr>
          <w:rFonts w:ascii="David" w:hAnsi="David" w:hint="cs"/>
          <w:noProof w:val="0"/>
          <w:rtl/>
        </w:rPr>
        <w:t>00</w:t>
      </w:r>
      <w:r>
        <w:rPr>
          <w:rFonts w:ascii="David" w:hAnsi="David"/>
          <w:noProof w:val="0"/>
          <w:rtl/>
        </w:rPr>
        <w:t xml:space="preserve">.20 בשעה </w:t>
      </w:r>
      <w:r w:rsidR="00E959A4">
        <w:rPr>
          <w:rFonts w:ascii="David" w:hAnsi="David" w:hint="cs"/>
          <w:noProof w:val="0"/>
          <w:rtl/>
        </w:rPr>
        <w:t>***</w:t>
      </w:r>
      <w:r>
        <w:rPr>
          <w:rFonts w:ascii="David" w:hAnsi="David"/>
          <w:noProof w:val="0"/>
          <w:rtl/>
        </w:rPr>
        <w:t xml:space="preserve"> נ</w:t>
      </w:r>
      <w:r w:rsidR="006777A8">
        <w:rPr>
          <w:rFonts w:ascii="David" w:hAnsi="David" w:hint="cs"/>
          <w:noProof w:val="0"/>
          <w:rtl/>
        </w:rPr>
        <w:t>.</w:t>
      </w:r>
      <w:r>
        <w:rPr>
          <w:rFonts w:ascii="David" w:hAnsi="David"/>
          <w:noProof w:val="0"/>
          <w:rtl/>
        </w:rPr>
        <w:t xml:space="preserve"> </w:t>
      </w:r>
      <w:proofErr w:type="spellStart"/>
      <w:r>
        <w:rPr>
          <w:rFonts w:ascii="David" w:hAnsi="David"/>
          <w:noProof w:val="0"/>
          <w:rtl/>
        </w:rPr>
        <w:t>וא</w:t>
      </w:r>
      <w:proofErr w:type="spellEnd"/>
      <w:r w:rsidR="006777A8">
        <w:rPr>
          <w:rFonts w:ascii="David" w:hAnsi="David" w:hint="cs"/>
          <w:noProof w:val="0"/>
          <w:rtl/>
        </w:rPr>
        <w:t>.</w:t>
      </w:r>
      <w:r>
        <w:rPr>
          <w:rFonts w:ascii="David" w:hAnsi="David"/>
          <w:noProof w:val="0"/>
          <w:rtl/>
        </w:rPr>
        <w:t xml:space="preserve"> פתחו את הכספת ונערך "פרוטוקול פתיחת הכספת" (להלן: "</w:t>
      </w:r>
      <w:r>
        <w:rPr>
          <w:rFonts w:ascii="David" w:hAnsi="David"/>
          <w:b/>
          <w:bCs/>
          <w:noProof w:val="0"/>
          <w:rtl/>
        </w:rPr>
        <w:t>הפרוטוקול</w:t>
      </w:r>
      <w:r>
        <w:rPr>
          <w:rFonts w:ascii="David" w:hAnsi="David"/>
          <w:noProof w:val="0"/>
          <w:rtl/>
        </w:rPr>
        <w:t xml:space="preserve">") אשר נחתם על-ידי השניים. </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מנהל העיזבון ביקש, בין היתר, להורות להעביר את הפרוטוקול לידו לבדיקת מומחה שיבחן את אמיתות הפרוטוקול ואת מועד חתימתו. עתירת מנהל העיזבון התקבלה בהחלטה מיום 28.10.21.</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ביום 15.2.22 עתר מנהל העיזבון להעביר את הפרוטוקול למומחה ובקשתו התקבלה בהחלטה מיום 31.3.22. </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ביום 15.6.22 הוגשה חוות הדעת, בה נקבע על-ידי המומחה כי הפרוטוקול נכתב בשנת 2021 ולא בשנת 2020 (להלן: "</w:t>
      </w:r>
      <w:r>
        <w:rPr>
          <w:rFonts w:ascii="David" w:hAnsi="David"/>
          <w:b/>
          <w:bCs/>
          <w:noProof w:val="0"/>
          <w:rtl/>
        </w:rPr>
        <w:t>חוות הדעת</w:t>
      </w:r>
      <w:r>
        <w:rPr>
          <w:rFonts w:ascii="David" w:hAnsi="David"/>
          <w:noProof w:val="0"/>
          <w:rtl/>
        </w:rPr>
        <w:t xml:space="preserve">"). </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לאחר קבלת תגובת הצדדים לחוות הדעת – ומשעה שאיש מהם לא הפנה שאלות הבהרה למומחה – בהחלטה מיום 19.9.22 חוות הדעת קיבלה תוקף של החלטה.</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אין בדעתי, בשלב זה, לקבוע דבר בעניין תכולת הכספת וגורלה, שכן לא התנהל בעניין תכולת הכספת הליך של שמיעת ראיות, וחוות הדעת – יהא משקלה אשר יהא – הינה הראיה היחידה שמונחת, בשלב זה, לפני בית המשפט. </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יחד עם זאת, משעה שמנהל עיזבון משמש כ"ידו הארוכה של בית המשפט" </w:t>
      </w:r>
      <w:r>
        <w:rPr>
          <w:rFonts w:ascii="David" w:hAnsi="David"/>
          <w:b/>
          <w:bCs/>
          <w:noProof w:val="0"/>
          <w:rtl/>
        </w:rPr>
        <w:t>ראו</w:t>
      </w:r>
      <w:r>
        <w:rPr>
          <w:rFonts w:ascii="David" w:hAnsi="David"/>
          <w:noProof w:val="0"/>
          <w:rtl/>
        </w:rPr>
        <w:t xml:space="preserve">: </w:t>
      </w:r>
      <w:proofErr w:type="spellStart"/>
      <w:r>
        <w:rPr>
          <w:rFonts w:ascii="David" w:hAnsi="David"/>
          <w:noProof w:val="0"/>
          <w:rtl/>
        </w:rPr>
        <w:t>תמ"ש</w:t>
      </w:r>
      <w:proofErr w:type="spellEnd"/>
      <w:r>
        <w:rPr>
          <w:rFonts w:ascii="David" w:hAnsi="David"/>
          <w:noProof w:val="0"/>
          <w:rtl/>
        </w:rPr>
        <w:t xml:space="preserve"> 3619-01-12  </w:t>
      </w:r>
      <w:r>
        <w:rPr>
          <w:rFonts w:ascii="David" w:hAnsi="David"/>
          <w:b/>
          <w:bCs/>
          <w:noProof w:val="0"/>
          <w:rtl/>
        </w:rPr>
        <w:t xml:space="preserve">צ.ש. נ' עו"ד </w:t>
      </w:r>
      <w:proofErr w:type="spellStart"/>
      <w:r>
        <w:rPr>
          <w:rFonts w:ascii="David" w:hAnsi="David"/>
          <w:b/>
          <w:bCs/>
          <w:noProof w:val="0"/>
          <w:rtl/>
        </w:rPr>
        <w:t>אלברק</w:t>
      </w:r>
      <w:proofErr w:type="spellEnd"/>
      <w:r>
        <w:rPr>
          <w:rFonts w:ascii="David" w:hAnsi="David"/>
          <w:noProof w:val="0"/>
          <w:rtl/>
        </w:rPr>
        <w:t xml:space="preserve"> (9.8.2018) ובית המשפט נותן בו אמון מיוחד, קיים קושי למנות את </w:t>
      </w:r>
      <w:r w:rsidR="006777A8">
        <w:rPr>
          <w:rFonts w:ascii="David" w:hAnsi="David"/>
          <w:noProof w:val="0"/>
          <w:rtl/>
        </w:rPr>
        <w:t>נ.</w:t>
      </w:r>
      <w:r>
        <w:rPr>
          <w:rFonts w:ascii="David" w:hAnsi="David"/>
          <w:noProof w:val="0"/>
          <w:rtl/>
        </w:rPr>
        <w:t xml:space="preserve"> כמנהל עיזבון קבוע, לאור מסקנות המומחה בחוות הדעת.</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לאור האמור, אני דוחה את הבקשה למנות את </w:t>
      </w:r>
      <w:r w:rsidR="006777A8">
        <w:rPr>
          <w:rFonts w:ascii="David" w:hAnsi="David"/>
          <w:noProof w:val="0"/>
          <w:rtl/>
        </w:rPr>
        <w:t>נ.</w:t>
      </w:r>
      <w:r>
        <w:rPr>
          <w:rFonts w:ascii="David" w:hAnsi="David"/>
          <w:noProof w:val="0"/>
          <w:rtl/>
        </w:rPr>
        <w:t xml:space="preserve"> כמנהל עיזבון קבוע.</w:t>
      </w: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lastRenderedPageBreak/>
        <w:t>כעת יש לדון בשאלה האם יש להמשיך את מינויו של מנהל העיזבון כמנהל עיזבון קבוע.</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ער אני לטענת המבקשים כי תוקף המינוי של מנהל העיזבון פקע </w:t>
      </w:r>
      <w:r>
        <w:rPr>
          <w:rFonts w:ascii="David" w:hAnsi="David"/>
          <w:b/>
          <w:bCs/>
          <w:noProof w:val="0"/>
          <w:rtl/>
        </w:rPr>
        <w:t>ראו: ס' 19 לבקשה</w:t>
      </w:r>
      <w:r>
        <w:rPr>
          <w:rFonts w:ascii="David" w:hAnsi="David"/>
          <w:noProof w:val="0"/>
          <w:rtl/>
        </w:rPr>
        <w:t xml:space="preserve">, ואולם, עובדה זו לא מונעת את האפשרות למנות את מנהל העיזבון למנהל עיזבון קבוע. הדבר נכון ביתר שאת, מקום בו מנהל העיזבון ממלא את תפקידו על פני תקופה העולה על 3 שנים, ומצוי בליבת העניינים של ניהול העיזבון. </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ביחס לטענה זו יש להעיר כי משך כל התקופה, המבקשים לא הפנו את תשומת לבו של בית המשפט כי תוקף המינוי הזמני פקע וכי יש צורך להאריך את תוקף המינוי. אין ספק כי האחריות להגיש בקשה להארכת תוקף המינוי מונחת על כתפיו של מנהל העיזבון ואולם, חובת בעלי הדין ובאי כוחם לסייע לבית המשפט בניהול משפט </w:t>
      </w:r>
      <w:r>
        <w:rPr>
          <w:rFonts w:ascii="David" w:hAnsi="David"/>
          <w:b/>
          <w:bCs/>
          <w:noProof w:val="0"/>
          <w:rtl/>
        </w:rPr>
        <w:t>ראו: תקנה 3 לתקנות</w:t>
      </w:r>
      <w:r>
        <w:rPr>
          <w:rFonts w:ascii="David" w:hAnsi="David"/>
          <w:noProof w:val="0"/>
          <w:rtl/>
        </w:rPr>
        <w:t>, ומצופה היה מהמבקשים, כמו גם מיתר בעלי הדין בהליך זה, כי יביאו לידיעת בית המשפט, את העובדה כי תוקף המינוי הזמני פקע.</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דין טענת המבקשים כי בפיהם "טענות כרימון" </w:t>
      </w:r>
      <w:r>
        <w:rPr>
          <w:rFonts w:ascii="David" w:hAnsi="David"/>
          <w:b/>
          <w:bCs/>
          <w:noProof w:val="0"/>
          <w:rtl/>
        </w:rPr>
        <w:t>ראו: ס' 21 לבקשה</w:t>
      </w:r>
      <w:r>
        <w:rPr>
          <w:rFonts w:ascii="David" w:hAnsi="David"/>
          <w:noProof w:val="0"/>
          <w:rtl/>
        </w:rPr>
        <w:t xml:space="preserve"> ביחס לתפקודו של מנהל העיזבון להידחות. על פני תקופה, העולה על 3 שנים, לא הוגשה על-ידי המבקשים בקשה לפטר את מנהל העיזבון מתפקידו או להחליפו במנהל עיזבון אחר ואין מקום להעלות טענה זו כעת, במסגרת הבקשה למנות את </w:t>
      </w:r>
      <w:r w:rsidR="006777A8">
        <w:rPr>
          <w:rFonts w:ascii="David" w:hAnsi="David"/>
          <w:noProof w:val="0"/>
          <w:rtl/>
        </w:rPr>
        <w:t>נ.</w:t>
      </w:r>
      <w:r>
        <w:rPr>
          <w:rFonts w:ascii="David" w:hAnsi="David"/>
          <w:noProof w:val="0"/>
          <w:rtl/>
        </w:rPr>
        <w:t xml:space="preserve"> כמנהל עיזבון.</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 xml:space="preserve">דין טענת המבקשים כי </w:t>
      </w:r>
      <w:r>
        <w:rPr>
          <w:rFonts w:ascii="David" w:hAnsi="David"/>
          <w:rtl/>
        </w:rPr>
        <w:t xml:space="preserve">מנהל העיזבון מצוי בניגוד עניינים </w:t>
      </w:r>
      <w:r>
        <w:rPr>
          <w:rFonts w:ascii="David" w:hAnsi="David"/>
          <w:b/>
          <w:bCs/>
          <w:rtl/>
        </w:rPr>
        <w:t>ראו: ס' 22 לבקשה</w:t>
      </w:r>
      <w:r>
        <w:rPr>
          <w:rFonts w:ascii="David" w:hAnsi="David"/>
          <w:rtl/>
        </w:rPr>
        <w:t xml:space="preserve"> להידחות </w:t>
      </w:r>
      <w:r>
        <w:rPr>
          <w:rFonts w:ascii="David" w:hAnsi="David"/>
          <w:noProof w:val="0"/>
          <w:rtl/>
        </w:rPr>
        <w:t>ולו משום שלא ניתן כל פירוט או תיאור לניגוד העניינים הנטען.</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על יסוד כל אלה, כאשר למעט המחדל שבא לידי ביטוי באי-הגשת בקשה להארכת תוקף המינוי הזמני, לא נפל כל דופי בניהול העיזבון ובהתנהלות של מנהל העיזבון ובשים לב לתקופה בה ממלא מנהל העיזבון את תפקידו, אני ממנה את מנהל העיזבון כמנהל עיזבון קבוע.</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צו מינוי יוגש לחתימתי על-ידי מנהל העיזבון בתוך 10 ימים.</w:t>
      </w:r>
    </w:p>
    <w:p w:rsidR="006A18F1" w:rsidRDefault="006A18F1" w:rsidP="006A18F1">
      <w:pPr>
        <w:pStyle w:val="aa"/>
        <w:rPr>
          <w:rFonts w:ascii="David" w:hAnsi="David"/>
          <w:noProof w:val="0"/>
        </w:rPr>
      </w:pPr>
    </w:p>
    <w:p w:rsidR="006A18F1" w:rsidRDefault="006A18F1" w:rsidP="006A18F1">
      <w:pPr>
        <w:pStyle w:val="aa"/>
        <w:numPr>
          <w:ilvl w:val="0"/>
          <w:numId w:val="1"/>
        </w:numPr>
        <w:spacing w:line="360" w:lineRule="auto"/>
        <w:jc w:val="both"/>
        <w:rPr>
          <w:rFonts w:ascii="David" w:hAnsi="David"/>
          <w:noProof w:val="0"/>
          <w:rtl/>
        </w:rPr>
      </w:pPr>
      <w:r>
        <w:rPr>
          <w:rFonts w:ascii="David" w:hAnsi="David"/>
          <w:noProof w:val="0"/>
          <w:rtl/>
        </w:rPr>
        <w:t>משנדחתה הבקשה, אני מחייב את המבקשים בהוצאות משפט כדלהלן:</w:t>
      </w:r>
    </w:p>
    <w:p w:rsidR="006A18F1" w:rsidRDefault="006A18F1" w:rsidP="006A18F1">
      <w:pPr>
        <w:pStyle w:val="aa"/>
        <w:rPr>
          <w:rFonts w:ascii="David" w:hAnsi="David"/>
          <w:noProof w:val="0"/>
        </w:rPr>
      </w:pPr>
    </w:p>
    <w:p w:rsidR="006A18F1" w:rsidRDefault="006A18F1" w:rsidP="006A18F1">
      <w:pPr>
        <w:pStyle w:val="aa"/>
        <w:spacing w:line="360" w:lineRule="auto"/>
        <w:jc w:val="both"/>
        <w:rPr>
          <w:rFonts w:ascii="David" w:hAnsi="David"/>
          <w:rtl/>
        </w:rPr>
      </w:pPr>
      <w:r>
        <w:rPr>
          <w:rFonts w:ascii="David" w:hAnsi="David"/>
          <w:noProof w:val="0"/>
          <w:u w:val="single"/>
          <w:rtl/>
        </w:rPr>
        <w:t xml:space="preserve">הוצאות משפט לטובת </w:t>
      </w:r>
      <w:r w:rsidR="00AE156D">
        <w:rPr>
          <w:rFonts w:ascii="David" w:hAnsi="David"/>
          <w:noProof w:val="0"/>
          <w:u w:val="single"/>
          <w:rtl/>
        </w:rPr>
        <w:t>א.ש.</w:t>
      </w:r>
      <w:r>
        <w:rPr>
          <w:rFonts w:ascii="David" w:hAnsi="David"/>
          <w:noProof w:val="0"/>
          <w:rtl/>
        </w:rPr>
        <w:t xml:space="preserve"> – בסך של 2,500 ₪ בגין הצורך להגיש תגובה. </w:t>
      </w:r>
      <w:r>
        <w:rPr>
          <w:rFonts w:ascii="David" w:hAnsi="David"/>
          <w:rtl/>
        </w:rPr>
        <w:t>במסגרת הבקשה למתן החלטה, טענו המבקשים כי משעה ש</w:t>
      </w:r>
      <w:r w:rsidR="00AE156D">
        <w:rPr>
          <w:rFonts w:ascii="David" w:hAnsi="David"/>
          <w:rtl/>
        </w:rPr>
        <w:t>א.ש.</w:t>
      </w:r>
      <w:r>
        <w:rPr>
          <w:rFonts w:ascii="David" w:hAnsi="David"/>
          <w:rtl/>
        </w:rPr>
        <w:t xml:space="preserve"> חזר בו מהתנגדותו לצו קיום צוואה, אין ליתן כל משקל להתנגדותו לבקשה. לאור טענה זו, מלכתחילה לא היה מקום לכלול את </w:t>
      </w:r>
      <w:r w:rsidR="00AE156D">
        <w:rPr>
          <w:rFonts w:ascii="David" w:hAnsi="David"/>
          <w:rtl/>
        </w:rPr>
        <w:t>א.ש.</w:t>
      </w:r>
      <w:r>
        <w:rPr>
          <w:rFonts w:ascii="David" w:hAnsi="David"/>
          <w:rtl/>
        </w:rPr>
        <w:t xml:space="preserve"> ברשימת המשיבים לבקשה, ומשעה שהוא נכלל על-ידי המבקשים ברשימת המשיבים והגיש תגובה, יש לחייב את המבקשים בהוצאות משפט בגין הגשתה.</w:t>
      </w:r>
    </w:p>
    <w:p w:rsidR="006A18F1" w:rsidRDefault="006A18F1" w:rsidP="006A18F1">
      <w:pPr>
        <w:pStyle w:val="aa"/>
        <w:spacing w:line="360" w:lineRule="auto"/>
        <w:jc w:val="both"/>
        <w:rPr>
          <w:rFonts w:ascii="David" w:hAnsi="David"/>
          <w:noProof w:val="0"/>
          <w:rtl/>
        </w:rPr>
      </w:pPr>
      <w:r>
        <w:rPr>
          <w:rFonts w:ascii="David" w:hAnsi="David"/>
          <w:noProof w:val="0"/>
          <w:u w:val="single"/>
          <w:rtl/>
        </w:rPr>
        <w:lastRenderedPageBreak/>
        <w:t>הוצאות משפט לטובת מנהל העיזבון</w:t>
      </w:r>
      <w:r>
        <w:rPr>
          <w:rFonts w:ascii="David" w:hAnsi="David"/>
          <w:noProof w:val="0"/>
          <w:rtl/>
        </w:rPr>
        <w:t xml:space="preserve"> – סך של 2,500 ₪ בשל הצורך להגיש תגובה. בעניין סמכות בית המשפט לפסוק הוצאות משפט למנהל עיזבון </w:t>
      </w:r>
      <w:r>
        <w:rPr>
          <w:rFonts w:ascii="David" w:hAnsi="David"/>
          <w:b/>
          <w:bCs/>
          <w:noProof w:val="0"/>
          <w:rtl/>
        </w:rPr>
        <w:t>השוו</w:t>
      </w:r>
      <w:r>
        <w:rPr>
          <w:rFonts w:ascii="David" w:hAnsi="David"/>
          <w:noProof w:val="0"/>
          <w:rtl/>
        </w:rPr>
        <w:t xml:space="preserve">: </w:t>
      </w:r>
      <w:proofErr w:type="spellStart"/>
      <w:r>
        <w:rPr>
          <w:rFonts w:ascii="David" w:hAnsi="David"/>
          <w:noProof w:val="0"/>
          <w:rtl/>
        </w:rPr>
        <w:t>תלה"מ</w:t>
      </w:r>
      <w:proofErr w:type="spellEnd"/>
      <w:r>
        <w:rPr>
          <w:rFonts w:ascii="David" w:hAnsi="David"/>
          <w:noProof w:val="0"/>
          <w:rtl/>
        </w:rPr>
        <w:t xml:space="preserve"> 67585-05-19 </w:t>
      </w:r>
      <w:r>
        <w:rPr>
          <w:rFonts w:ascii="David" w:hAnsi="David"/>
          <w:b/>
          <w:bCs/>
          <w:noProof w:val="0"/>
          <w:rtl/>
        </w:rPr>
        <w:t>ר. מ. נ' ד.מ.</w:t>
      </w:r>
      <w:r>
        <w:rPr>
          <w:rFonts w:ascii="David" w:hAnsi="David"/>
          <w:noProof w:val="0"/>
          <w:rtl/>
        </w:rPr>
        <w:t xml:space="preserve"> (5.2.2021).</w:t>
      </w:r>
    </w:p>
    <w:p w:rsidR="006A18F1" w:rsidRDefault="006A18F1" w:rsidP="006A18F1">
      <w:pPr>
        <w:pStyle w:val="aa"/>
        <w:spacing w:line="360" w:lineRule="auto"/>
        <w:jc w:val="both"/>
        <w:rPr>
          <w:rFonts w:ascii="David" w:hAnsi="David"/>
          <w:noProof w:val="0"/>
          <w:rtl/>
        </w:rPr>
      </w:pPr>
    </w:p>
    <w:p w:rsidR="006A18F1" w:rsidRDefault="006A18F1" w:rsidP="006A18F1">
      <w:pPr>
        <w:pStyle w:val="aa"/>
        <w:spacing w:line="360" w:lineRule="auto"/>
        <w:jc w:val="both"/>
        <w:rPr>
          <w:rFonts w:ascii="David" w:hAnsi="David"/>
          <w:noProof w:val="0"/>
        </w:rPr>
      </w:pPr>
      <w:r>
        <w:rPr>
          <w:rFonts w:ascii="David" w:hAnsi="David"/>
          <w:noProof w:val="0"/>
          <w:u w:val="single"/>
          <w:rtl/>
        </w:rPr>
        <w:t>הוצאות לטובת אוצר המדינה</w:t>
      </w:r>
      <w:r>
        <w:rPr>
          <w:rFonts w:ascii="David" w:hAnsi="David"/>
          <w:noProof w:val="0"/>
          <w:rtl/>
        </w:rPr>
        <w:t xml:space="preserve"> – סך של 1,500 ₪. תקנה 151 (ג) לתקנות קובעת כי בית המשפט רשאי לחייב בעל דין בהוצאות משפט, לרבות לטובת אוצר המדינה, אם סבר כי בעל דין זה עשה שימוש לרעה בהליכי משפט. על-פי הפסיקה, העלאת טענות סותרות מהווה </w:t>
      </w:r>
      <w:r>
        <w:rPr>
          <w:rFonts w:ascii="Arial" w:hAnsi="Arial"/>
          <w:noProof w:val="0"/>
          <w:rtl/>
        </w:rPr>
        <w:t xml:space="preserve">עשיית </w:t>
      </w:r>
      <w:r>
        <w:rPr>
          <w:rFonts w:ascii="David" w:hAnsi="David"/>
          <w:noProof w:val="0"/>
          <w:rtl/>
        </w:rPr>
        <w:t xml:space="preserve">שימוש לרעה בהליכי משפט </w:t>
      </w:r>
      <w:r>
        <w:rPr>
          <w:rFonts w:ascii="David" w:hAnsi="David"/>
          <w:b/>
          <w:bCs/>
          <w:noProof w:val="0"/>
          <w:rtl/>
        </w:rPr>
        <w:t>ראו</w:t>
      </w:r>
      <w:r>
        <w:rPr>
          <w:rFonts w:ascii="David" w:hAnsi="David"/>
          <w:noProof w:val="0"/>
          <w:rtl/>
        </w:rPr>
        <w:t xml:space="preserve">: ת"א (מחוזי מרכז) 46205-06-23 </w:t>
      </w:r>
      <w:r>
        <w:rPr>
          <w:rFonts w:ascii="David" w:hAnsi="David"/>
          <w:b/>
          <w:bCs/>
          <w:noProof w:val="0"/>
          <w:rtl/>
        </w:rPr>
        <w:t xml:space="preserve">בלייער נ' מזרחי </w:t>
      </w:r>
      <w:r>
        <w:rPr>
          <w:rFonts w:ascii="David" w:hAnsi="David"/>
          <w:noProof w:val="0"/>
          <w:rtl/>
        </w:rPr>
        <w:t>(19.5.2024); ת"א (מחוזי חיפה)</w:t>
      </w:r>
      <w:r>
        <w:rPr>
          <w:rFonts w:ascii="David" w:hAnsi="David"/>
          <w:b/>
          <w:bCs/>
          <w:noProof w:val="0"/>
          <w:rtl/>
        </w:rPr>
        <w:t xml:space="preserve"> </w:t>
      </w:r>
      <w:r>
        <w:rPr>
          <w:rFonts w:ascii="David" w:hAnsi="David"/>
          <w:noProof w:val="0"/>
          <w:rtl/>
        </w:rPr>
        <w:t>58528-11-19</w:t>
      </w:r>
      <w:r>
        <w:rPr>
          <w:rFonts w:ascii="David" w:hAnsi="David"/>
          <w:b/>
          <w:bCs/>
          <w:noProof w:val="0"/>
          <w:rtl/>
        </w:rPr>
        <w:t xml:space="preserve"> שומר נ' שומר </w:t>
      </w:r>
      <w:r>
        <w:rPr>
          <w:rFonts w:ascii="David" w:hAnsi="David"/>
          <w:rtl/>
        </w:rPr>
        <w:t>(27.6.2023) ומשעה שנקבע בהחלטה זו לעיל</w:t>
      </w:r>
      <w:r>
        <w:rPr>
          <w:rFonts w:ascii="David" w:hAnsi="David"/>
          <w:noProof w:val="0"/>
          <w:rtl/>
        </w:rPr>
        <w:t>, כי המבקשים העלו טענות סותרות, יש לחייבם בהוצאות משפט לטובת אוצר המדינה.</w:t>
      </w:r>
    </w:p>
    <w:p w:rsidR="006A18F1" w:rsidRDefault="006A18F1" w:rsidP="006A18F1">
      <w:pPr>
        <w:pStyle w:val="aa"/>
        <w:spacing w:line="360" w:lineRule="auto"/>
        <w:jc w:val="both"/>
        <w:rPr>
          <w:rFonts w:ascii="David" w:hAnsi="David"/>
          <w:noProof w:val="0"/>
          <w:rtl/>
        </w:rPr>
      </w:pPr>
    </w:p>
    <w:p w:rsidR="006A18F1" w:rsidRDefault="006A18F1" w:rsidP="006A18F1">
      <w:pPr>
        <w:pStyle w:val="aa"/>
        <w:numPr>
          <w:ilvl w:val="0"/>
          <w:numId w:val="1"/>
        </w:numPr>
        <w:spacing w:line="360" w:lineRule="auto"/>
        <w:jc w:val="both"/>
        <w:rPr>
          <w:rFonts w:ascii="David" w:hAnsi="David"/>
          <w:noProof w:val="0"/>
        </w:rPr>
      </w:pPr>
      <w:r>
        <w:rPr>
          <w:rFonts w:ascii="David" w:hAnsi="David"/>
          <w:noProof w:val="0"/>
          <w:rtl/>
        </w:rPr>
        <w:t>זכות ערעור כדין.</w:t>
      </w:r>
    </w:p>
    <w:p w:rsidR="006A18F1" w:rsidRDefault="006A18F1" w:rsidP="006A18F1">
      <w:pPr>
        <w:pStyle w:val="aa"/>
        <w:spacing w:line="360" w:lineRule="auto"/>
        <w:jc w:val="both"/>
        <w:rPr>
          <w:rFonts w:ascii="David" w:hAnsi="David"/>
          <w:noProof w:val="0"/>
        </w:rPr>
      </w:pPr>
    </w:p>
    <w:p w:rsidR="006A18F1" w:rsidRPr="001224A0" w:rsidRDefault="006A18F1" w:rsidP="001224A0">
      <w:pPr>
        <w:pStyle w:val="aa"/>
        <w:numPr>
          <w:ilvl w:val="0"/>
          <w:numId w:val="1"/>
        </w:numPr>
        <w:spacing w:line="360" w:lineRule="auto"/>
        <w:jc w:val="both"/>
        <w:rPr>
          <w:rFonts w:ascii="David" w:hAnsi="David"/>
          <w:b/>
          <w:bCs/>
          <w:noProof w:val="0"/>
        </w:rPr>
      </w:pPr>
      <w:r>
        <w:rPr>
          <w:rFonts w:ascii="David" w:hAnsi="David"/>
          <w:b/>
          <w:bCs/>
          <w:noProof w:val="0"/>
          <w:rtl/>
        </w:rPr>
        <w:t>המזכירות תסגור את התיק</w:t>
      </w:r>
      <w:r>
        <w:rPr>
          <w:rFonts w:ascii="David" w:hAnsi="David"/>
          <w:noProof w:val="0"/>
          <w:rtl/>
        </w:rPr>
        <w:t>.</w:t>
      </w:r>
    </w:p>
    <w:p w:rsidR="001224A0" w:rsidRPr="001224A0" w:rsidRDefault="001224A0" w:rsidP="001224A0">
      <w:pPr>
        <w:pStyle w:val="aa"/>
        <w:rPr>
          <w:rFonts w:ascii="David" w:hAnsi="David"/>
          <w:b/>
          <w:bCs/>
          <w:noProof w:val="0"/>
          <w:rtl/>
        </w:rPr>
      </w:pPr>
    </w:p>
    <w:p w:rsidR="001224A0" w:rsidRPr="001224A0" w:rsidRDefault="001224A0" w:rsidP="001224A0">
      <w:pPr>
        <w:pStyle w:val="aa"/>
        <w:numPr>
          <w:ilvl w:val="0"/>
          <w:numId w:val="1"/>
        </w:numPr>
        <w:spacing w:line="360" w:lineRule="auto"/>
        <w:jc w:val="both"/>
        <w:rPr>
          <w:rFonts w:ascii="David" w:hAnsi="David"/>
          <w:noProof w:val="0"/>
          <w:rtl/>
        </w:rPr>
      </w:pPr>
      <w:r w:rsidRPr="001224A0">
        <w:rPr>
          <w:rFonts w:ascii="David" w:hAnsi="David" w:hint="cs"/>
          <w:noProof w:val="0"/>
          <w:rtl/>
        </w:rPr>
        <w:t>ההחלטה מותרת בפרסום לאחר השמטת פרטים מזהים.</w:t>
      </w:r>
    </w:p>
    <w:p w:rsidR="006A18F1" w:rsidRDefault="006A18F1" w:rsidP="006A18F1">
      <w:pPr>
        <w:spacing w:line="360" w:lineRule="auto"/>
        <w:jc w:val="both"/>
        <w:rPr>
          <w:rFonts w:ascii="Arial" w:hAnsi="Arial"/>
          <w:noProof w:val="0"/>
          <w:rtl/>
        </w:rPr>
      </w:pPr>
    </w:p>
    <w:p w:rsidR="006A18F1" w:rsidRDefault="006A18F1" w:rsidP="006A18F1">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י"א אב תשפ"ד</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15 אוגוסט 2024</w:t>
          </w:r>
        </w:sdtContent>
      </w:sdt>
      <w:r>
        <w:rPr>
          <w:rFonts w:ascii="Arial" w:hAnsi="Arial"/>
          <w:noProof w:val="0"/>
          <w:rtl/>
        </w:rPr>
        <w:t>, בהעדר הצדדים.</w:t>
      </w:r>
    </w:p>
    <w:p w:rsidR="006A18F1" w:rsidRDefault="006A18F1" w:rsidP="006A18F1">
      <w:pPr>
        <w:spacing w:line="360" w:lineRule="auto"/>
        <w:jc w:val="center"/>
        <w:rPr>
          <w:rFonts w:ascii="Arial" w:hAnsi="Arial"/>
          <w:noProof w:val="0"/>
          <w:rtl/>
        </w:rPr>
      </w:pPr>
    </w:p>
    <w:p w:rsidR="006A18F1" w:rsidRDefault="006A18F1" w:rsidP="006A18F1">
      <w:pPr>
        <w:spacing w:line="360" w:lineRule="auto"/>
        <w:jc w:val="center"/>
      </w:pPr>
      <w:r>
        <w:rPr>
          <w:rFonts w:ascii="Arial" w:hAnsi="Arial"/>
          <w:noProof w:val="0"/>
          <w:rtl/>
        </w:rPr>
        <w:tab/>
      </w:r>
      <w:r>
        <w:rPr>
          <w:rFonts w:ascii="Arial" w:hAnsi="Arial"/>
          <w:noProof w:val="0"/>
          <w:rtl/>
        </w:rPr>
        <w:tab/>
      </w:r>
      <w:sdt>
        <w:sdtPr>
          <w:rPr>
            <w:rtl/>
          </w:rPr>
          <w:alias w:val="MergeField"/>
          <w:tag w:val="1237"/>
          <w:id w:val="1136059084"/>
        </w:sdtPr>
        <w:sdtEndPr/>
        <w:sdtContent>
          <w:r>
            <w:drawing>
              <wp:inline distT="0" distB="0" distL="0" distR="0" wp14:anchorId="49B6B0FC" wp14:editId="00B092C9">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p w:rsidR="006A18F1" w:rsidRDefault="006A18F1" w:rsidP="006A18F1">
      <w:pPr>
        <w:spacing w:line="360" w:lineRule="auto"/>
        <w:jc w:val="center"/>
        <w:rPr>
          <w:rFonts w:ascii="Arial" w:hAnsi="Arial"/>
          <w:noProof w:val="0"/>
          <w:rtl/>
        </w:rPr>
      </w:pPr>
    </w:p>
    <w:p w:rsidR="00FF41CD" w:rsidRDefault="00FF41CD"/>
    <w:sectPr w:rsidR="00FF41CD" w:rsidSect="00EB697C">
      <w:headerReference w:type="even" r:id="rId8"/>
      <w:headerReference w:type="default" r:id="rId9"/>
      <w:footerReference w:type="even" r:id="rId10"/>
      <w:footerReference w:type="default" r:id="rId11"/>
      <w:headerReference w:type="first" r:id="rId12"/>
      <w:footerReference w:type="first" r:id="rId13"/>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8F1" w:rsidRDefault="006A18F1" w:rsidP="006A18F1">
      <w:r>
        <w:separator/>
      </w:r>
    </w:p>
  </w:endnote>
  <w:endnote w:type="continuationSeparator" w:id="0">
    <w:p w:rsidR="006A18F1" w:rsidRDefault="006A18F1" w:rsidP="006A1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5F7" w:rsidRDefault="009515F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6A18F1">
    <w:pPr>
      <w:pStyle w:val="a5"/>
      <w:jc w:val="center"/>
      <w:rPr>
        <w:rStyle w:val="a8"/>
      </w:rPr>
    </w:pPr>
    <w:r>
      <w:rPr>
        <w:rStyle w:val="a8"/>
      </w:rPr>
      <w:fldChar w:fldCharType="begin"/>
    </w:r>
    <w:r>
      <w:rPr>
        <w:rStyle w:val="a8"/>
      </w:rPr>
      <w:instrText xml:space="preserve"> PAGE </w:instrText>
    </w:r>
    <w:r>
      <w:rPr>
        <w:rStyle w:val="a8"/>
      </w:rPr>
      <w:fldChar w:fldCharType="separate"/>
    </w:r>
    <w:r w:rsidR="009515F7">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9515F7">
      <w:rPr>
        <w:rStyle w:val="a8"/>
        <w:rtl/>
      </w:rPr>
      <w:t>11</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5F7" w:rsidRDefault="009515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8F1" w:rsidRDefault="006A18F1" w:rsidP="006A18F1">
      <w:r>
        <w:separator/>
      </w:r>
    </w:p>
  </w:footnote>
  <w:footnote w:type="continuationSeparator" w:id="0">
    <w:p w:rsidR="006A18F1" w:rsidRDefault="006A18F1" w:rsidP="006A1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5F7" w:rsidRDefault="009515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6A18F1">
    <w:pPr>
      <w:pStyle w:val="a3"/>
      <w:jc w:val="center"/>
      <w:rPr>
        <w:rFonts w:cs="FrankRuehl"/>
        <w:noProof w:val="0"/>
        <w:sz w:val="28"/>
        <w:szCs w:val="28"/>
        <w:rtl/>
      </w:rPr>
    </w:pPr>
    <w:r>
      <w:rPr>
        <w:rFonts w:cs="FrankRuehl"/>
        <w:sz w:val="28"/>
        <w:szCs w:val="28"/>
      </w:rPr>
      <w:drawing>
        <wp:inline distT="0" distB="0" distL="0" distR="0" wp14:anchorId="6D11D544" wp14:editId="602F756E">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6A18F1">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9515F7">
          <w:pPr>
            <w:rPr>
              <w:b/>
              <w:bCs/>
              <w:noProof w:val="0"/>
              <w:sz w:val="26"/>
              <w:szCs w:val="26"/>
              <w:rtl/>
            </w:rPr>
          </w:pPr>
        </w:p>
      </w:tc>
      <w:sdt>
        <w:sdtPr>
          <w:rPr>
            <w:rtl/>
          </w:rPr>
          <w:alias w:val="1456"/>
          <w:tag w:val="1456"/>
          <w:id w:val="-1143425472"/>
          <w:text/>
        </w:sdtPr>
        <w:sdtEndPr/>
        <w:sdtContent>
          <w:tc>
            <w:tcPr>
              <w:tcW w:w="3674" w:type="dxa"/>
            </w:tcPr>
            <w:p w:rsidR="002914D6" w:rsidRDefault="006A18F1">
              <w:pPr>
                <w:pStyle w:val="a3"/>
                <w:jc w:val="right"/>
                <w:rPr>
                  <w:b/>
                  <w:bCs/>
                  <w:noProof w:val="0"/>
                  <w:sz w:val="26"/>
                  <w:szCs w:val="26"/>
                  <w:rtl/>
                </w:rPr>
              </w:pPr>
              <w:r>
                <w:rPr>
                  <w:b/>
                  <w:bCs/>
                  <w:noProof w:val="0"/>
                  <w:sz w:val="26"/>
                  <w:szCs w:val="26"/>
                  <w:rtl/>
                </w:rPr>
                <w:t>15 אוגוסט 2024</w:t>
              </w:r>
            </w:p>
          </w:tc>
        </w:sdtContent>
      </w:sdt>
    </w:tr>
    <w:tr w:rsidR="002914D6">
      <w:trPr>
        <w:trHeight w:val="337"/>
        <w:jc w:val="center"/>
      </w:trPr>
      <w:tc>
        <w:tcPr>
          <w:tcW w:w="8721" w:type="dxa"/>
          <w:gridSpan w:val="2"/>
        </w:tcPr>
        <w:p w:rsidR="002914D6" w:rsidRDefault="009515F7" w:rsidP="009515F7">
          <w:pPr>
            <w:rPr>
              <w:b/>
              <w:bCs/>
              <w:noProof w:val="0"/>
              <w:sz w:val="26"/>
              <w:szCs w:val="26"/>
              <w:rtl/>
            </w:rPr>
          </w:pPr>
          <w:sdt>
            <w:sdtPr>
              <w:rPr>
                <w:rtl/>
              </w:rPr>
              <w:alias w:val="1170"/>
              <w:tag w:val="1170"/>
              <w:id w:val="632838173"/>
              <w:text w:multiLine="1"/>
            </w:sdtPr>
            <w:sdtEndPr/>
            <w:sdtContent>
              <w:r w:rsidR="006A18F1">
                <w:rPr>
                  <w:b/>
                  <w:bCs/>
                  <w:noProof w:val="0"/>
                  <w:sz w:val="26"/>
                  <w:szCs w:val="26"/>
                  <w:rtl/>
                </w:rPr>
                <w:t>ת"ע</w:t>
              </w:r>
            </w:sdtContent>
          </w:sdt>
          <w:r w:rsidR="006A18F1">
            <w:rPr>
              <w:b/>
              <w:bCs/>
              <w:noProof w:val="0"/>
              <w:sz w:val="26"/>
              <w:szCs w:val="26"/>
              <w:rtl/>
            </w:rPr>
            <w:t xml:space="preserve"> </w:t>
          </w:r>
          <w:sdt>
            <w:sdtPr>
              <w:rPr>
                <w:rtl/>
              </w:rPr>
              <w:alias w:val="1171"/>
              <w:tag w:val="1171"/>
              <w:id w:val="-1684506308"/>
              <w:text w:multiLine="1"/>
            </w:sdtPr>
            <w:sdtEndPr/>
            <w:sdtContent>
              <w:r w:rsidR="006A18F1">
                <w:rPr>
                  <w:b/>
                  <w:bCs/>
                  <w:noProof w:val="0"/>
                  <w:sz w:val="26"/>
                  <w:szCs w:val="26"/>
                  <w:rtl/>
                </w:rPr>
                <w:t>49364-04-24</w:t>
              </w:r>
            </w:sdtContent>
          </w:sdt>
          <w:r w:rsidR="006A18F1">
            <w:rPr>
              <w:b/>
              <w:bCs/>
              <w:noProof w:val="0"/>
              <w:sz w:val="26"/>
              <w:szCs w:val="26"/>
              <w:rtl/>
            </w:rPr>
            <w:t xml:space="preserve"> </w:t>
          </w:r>
          <w:sdt>
            <w:sdtPr>
              <w:rPr>
                <w:rtl/>
              </w:rPr>
              <w:alias w:val="1172"/>
              <w:tag w:val="1172"/>
              <w:id w:val="1484202908"/>
              <w:text w:multiLine="1"/>
            </w:sdtPr>
            <w:sdtEndPr/>
            <w:sdtContent>
              <w:r w:rsidR="00CB473C">
                <w:rPr>
                  <w:rFonts w:hint="cs"/>
                  <w:b/>
                  <w:bCs/>
                  <w:noProof w:val="0"/>
                  <w:sz w:val="26"/>
                  <w:szCs w:val="26"/>
                  <w:rtl/>
                </w:rPr>
                <w:t xml:space="preserve">ש. </w:t>
              </w:r>
              <w:r>
                <w:rPr>
                  <w:rFonts w:hint="cs"/>
                  <w:b/>
                  <w:bCs/>
                  <w:noProof w:val="0"/>
                  <w:sz w:val="26"/>
                  <w:szCs w:val="26"/>
                  <w:rtl/>
                </w:rPr>
                <w:t xml:space="preserve">נ' </w:t>
              </w:r>
              <w:r>
                <w:rPr>
                  <w:rFonts w:hint="cs"/>
                  <w:b/>
                  <w:bCs/>
                  <w:noProof w:val="0"/>
                  <w:sz w:val="26"/>
                  <w:szCs w:val="26"/>
                  <w:rtl/>
                </w:rPr>
                <w:t>ח.</w:t>
              </w:r>
            </w:sdtContent>
          </w:sdt>
        </w:p>
        <w:p w:rsidR="002914D6" w:rsidRDefault="009515F7">
          <w:pPr>
            <w:rPr>
              <w:rtl/>
            </w:rPr>
          </w:pPr>
        </w:p>
        <w:p w:rsidR="007E22DA" w:rsidRDefault="006A18F1" w:rsidP="006A18F1">
          <w:pPr>
            <w:tabs>
              <w:tab w:val="left" w:pos="1873"/>
            </w:tabs>
            <w:rPr>
              <w:rtl/>
            </w:rPr>
          </w:pPr>
          <w:r>
            <w:rPr>
              <w:rtl/>
            </w:rPr>
            <w:tab/>
          </w:r>
        </w:p>
      </w:tc>
    </w:tr>
  </w:tbl>
  <w:p w:rsidR="002914D6" w:rsidRDefault="006A18F1">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5F7" w:rsidRDefault="009515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A836FF"/>
    <w:multiLevelType w:val="hybridMultilevel"/>
    <w:tmpl w:val="BBB47B38"/>
    <w:lvl w:ilvl="0" w:tplc="A7A60DC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D54"/>
    <w:rsid w:val="00061801"/>
    <w:rsid w:val="001224A0"/>
    <w:rsid w:val="001A3FA3"/>
    <w:rsid w:val="001D73B4"/>
    <w:rsid w:val="00290AFC"/>
    <w:rsid w:val="00362CFF"/>
    <w:rsid w:val="003832A9"/>
    <w:rsid w:val="003A3D51"/>
    <w:rsid w:val="003D39D6"/>
    <w:rsid w:val="005F4090"/>
    <w:rsid w:val="00627599"/>
    <w:rsid w:val="006777A8"/>
    <w:rsid w:val="006A18F1"/>
    <w:rsid w:val="00742F74"/>
    <w:rsid w:val="0075486F"/>
    <w:rsid w:val="007745B9"/>
    <w:rsid w:val="007B0067"/>
    <w:rsid w:val="007D703B"/>
    <w:rsid w:val="00904521"/>
    <w:rsid w:val="009515F7"/>
    <w:rsid w:val="0096275A"/>
    <w:rsid w:val="00972D54"/>
    <w:rsid w:val="009C6FD0"/>
    <w:rsid w:val="009E6EBB"/>
    <w:rsid w:val="009F244E"/>
    <w:rsid w:val="00AA11DB"/>
    <w:rsid w:val="00AA52C6"/>
    <w:rsid w:val="00AE0AAD"/>
    <w:rsid w:val="00AE156D"/>
    <w:rsid w:val="00B21AE6"/>
    <w:rsid w:val="00B567C5"/>
    <w:rsid w:val="00C660C5"/>
    <w:rsid w:val="00CB473C"/>
    <w:rsid w:val="00D158F0"/>
    <w:rsid w:val="00D60A75"/>
    <w:rsid w:val="00E6218A"/>
    <w:rsid w:val="00E852B9"/>
    <w:rsid w:val="00E90FFA"/>
    <w:rsid w:val="00E959A4"/>
    <w:rsid w:val="00EB6C72"/>
    <w:rsid w:val="00FF41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2B27A"/>
  <w15:chartTrackingRefBased/>
  <w15:docId w15:val="{D159F89C-799F-4C4F-93A0-D0BED5BD7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8F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A18F1"/>
    <w:pPr>
      <w:tabs>
        <w:tab w:val="center" w:pos="4153"/>
        <w:tab w:val="right" w:pos="8306"/>
      </w:tabs>
    </w:pPr>
  </w:style>
  <w:style w:type="character" w:customStyle="1" w:styleId="a4">
    <w:name w:val="כותרת עליונה תו"/>
    <w:basedOn w:val="a0"/>
    <w:link w:val="a3"/>
    <w:rsid w:val="006A18F1"/>
    <w:rPr>
      <w:rFonts w:ascii="Times New Roman" w:eastAsia="Times New Roman" w:hAnsi="Times New Roman" w:cs="David"/>
      <w:noProof/>
      <w:sz w:val="24"/>
      <w:szCs w:val="24"/>
    </w:rPr>
  </w:style>
  <w:style w:type="paragraph" w:styleId="a5">
    <w:name w:val="footer"/>
    <w:basedOn w:val="a"/>
    <w:link w:val="a6"/>
    <w:rsid w:val="006A18F1"/>
    <w:pPr>
      <w:tabs>
        <w:tab w:val="center" w:pos="4153"/>
        <w:tab w:val="right" w:pos="8306"/>
      </w:tabs>
    </w:pPr>
  </w:style>
  <w:style w:type="character" w:customStyle="1" w:styleId="a6">
    <w:name w:val="כותרת תחתונה תו"/>
    <w:basedOn w:val="a0"/>
    <w:link w:val="a5"/>
    <w:rsid w:val="006A18F1"/>
    <w:rPr>
      <w:rFonts w:ascii="Times New Roman" w:eastAsia="Times New Roman" w:hAnsi="Times New Roman" w:cs="David"/>
      <w:noProof/>
      <w:sz w:val="24"/>
      <w:szCs w:val="24"/>
    </w:rPr>
  </w:style>
  <w:style w:type="table" w:styleId="a7">
    <w:name w:val="Table Grid"/>
    <w:basedOn w:val="a1"/>
    <w:rsid w:val="006A18F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6A18F1"/>
  </w:style>
  <w:style w:type="table" w:styleId="a9">
    <w:name w:val="Grid Table Light"/>
    <w:basedOn w:val="a1"/>
    <w:uiPriority w:val="40"/>
    <w:rsid w:val="006A18F1"/>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List Paragraph"/>
    <w:basedOn w:val="a"/>
    <w:qFormat/>
    <w:rsid w:val="006A18F1"/>
    <w:pPr>
      <w:ind w:left="720"/>
      <w:contextualSpacing/>
    </w:pPr>
  </w:style>
  <w:style w:type="character" w:styleId="Hyperlink">
    <w:name w:val="Hyperlink"/>
    <w:basedOn w:val="a0"/>
    <w:uiPriority w:val="99"/>
    <w:semiHidden/>
    <w:unhideWhenUsed/>
    <w:rsid w:val="006A18F1"/>
    <w:rPr>
      <w:color w:val="0000FF"/>
      <w:u w:val="single"/>
    </w:rPr>
  </w:style>
  <w:style w:type="character" w:styleId="ab">
    <w:name w:val="line number"/>
    <w:basedOn w:val="a0"/>
    <w:uiPriority w:val="99"/>
    <w:semiHidden/>
    <w:unhideWhenUsed/>
    <w:rsid w:val="006A18F1"/>
  </w:style>
  <w:style w:type="paragraph" w:styleId="ac">
    <w:name w:val="Balloon Text"/>
    <w:basedOn w:val="a"/>
    <w:link w:val="ad"/>
    <w:uiPriority w:val="99"/>
    <w:semiHidden/>
    <w:unhideWhenUsed/>
    <w:rsid w:val="00E852B9"/>
    <w:rPr>
      <w:rFonts w:ascii="Tahoma" w:hAnsi="Tahoma" w:cs="Tahoma"/>
      <w:sz w:val="18"/>
      <w:szCs w:val="18"/>
    </w:rPr>
  </w:style>
  <w:style w:type="character" w:customStyle="1" w:styleId="ad">
    <w:name w:val="טקסט בלונים תו"/>
    <w:basedOn w:val="a0"/>
    <w:link w:val="ac"/>
    <w:uiPriority w:val="99"/>
    <w:semiHidden/>
    <w:rsid w:val="00E852B9"/>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67469D3BA604D1EAF46321549EBE0CC"/>
        <w:category>
          <w:name w:val="כללי"/>
          <w:gallery w:val="placeholder"/>
        </w:category>
        <w:types>
          <w:type w:val="bbPlcHdr"/>
        </w:types>
        <w:behaviors>
          <w:behavior w:val="content"/>
        </w:behaviors>
        <w:guid w:val="{7D1476F7-7806-43B4-BAB6-737F8E0222D0}"/>
      </w:docPartPr>
      <w:docPartBody>
        <w:p w:rsidR="00A60C04" w:rsidRDefault="000306AA" w:rsidP="000306AA">
          <w:pPr>
            <w:pStyle w:val="667469D3BA604D1EAF46321549EBE0CC"/>
          </w:pPr>
          <w:r>
            <w:rPr>
              <w:rFonts w:hint="cs"/>
              <w:b/>
              <w:bCs/>
              <w:sz w:val="26"/>
              <w:szCs w:val="26"/>
              <w:rtl/>
            </w:rPr>
            <w:t>סוג בעניין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6AA"/>
    <w:rsid w:val="000306AA"/>
    <w:rsid w:val="00A60C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67469D3BA604D1EAF46321549EBE0CC">
    <w:name w:val="667469D3BA604D1EAF46321549EBE0CC"/>
    <w:rsid w:val="000306AA"/>
    <w:pPr>
      <w:bidi/>
    </w:pPr>
  </w:style>
  <w:style w:type="paragraph" w:customStyle="1" w:styleId="FA910BC5F0B948259B922941632B5C73">
    <w:name w:val="FA910BC5F0B948259B922941632B5C73"/>
    <w:rsid w:val="000306AA"/>
    <w:pPr>
      <w:bidi/>
    </w:pPr>
  </w:style>
  <w:style w:type="paragraph" w:customStyle="1" w:styleId="28D5865D9C18432798EB3D8AC6DE8A2F">
    <w:name w:val="28D5865D9C18432798EB3D8AC6DE8A2F"/>
    <w:rsid w:val="000306AA"/>
    <w:pPr>
      <w:bidi/>
    </w:pPr>
  </w:style>
  <w:style w:type="paragraph" w:customStyle="1" w:styleId="DDBC227C4BA24D8E8D25B24154F3E7BF">
    <w:name w:val="DDBC227C4BA24D8E8D25B24154F3E7BF"/>
    <w:rsid w:val="000306AA"/>
    <w:pPr>
      <w:bidi/>
    </w:pPr>
  </w:style>
  <w:style w:type="paragraph" w:customStyle="1" w:styleId="6AB290637B794979BC180A62B9960EF7">
    <w:name w:val="6AB290637B794979BC180A62B9960EF7"/>
    <w:rsid w:val="000306A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11</Pages>
  <Words>2648</Words>
  <Characters>13240</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קרין סיידוף</cp:lastModifiedBy>
  <cp:revision>41</cp:revision>
  <cp:lastPrinted>2024-09-01T04:47:00Z</cp:lastPrinted>
  <dcterms:created xsi:type="dcterms:W3CDTF">2024-09-01T04:22:00Z</dcterms:created>
  <dcterms:modified xsi:type="dcterms:W3CDTF">2024-09-12T08:19:00Z</dcterms:modified>
</cp:coreProperties>
</file>